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0" w:line="360" w:lineRule="auto"/>
        <w:jc w:val="center"/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 THE HIGH COURT OF SOUT</w:t>
      </w:r>
      <w:r>
        <w:rPr>
          <w:rFonts w:ascii="Arial" w:eastAsia="Arial" w:hAnsi="Arial" w:cs="Arial"/>
          <w:b/>
          <w:bCs/>
        </w:rPr>
        <w:t>H AFRICA</w:t>
      </w:r>
    </w:p>
    <w:p>
      <w:pPr>
        <w:spacing w:before="0" w:after="240" w:line="360" w:lineRule="auto"/>
        <w:jc w:val="center"/>
      </w:pPr>
      <w:r>
        <w:rPr>
          <w:rFonts w:ascii="Arial" w:eastAsia="Arial" w:hAnsi="Arial" w:cs="Arial"/>
          <w:b/>
          <w:bCs/>
        </w:rPr>
        <w:t xml:space="preserve">GAUTENG DIVISION, </w:t>
      </w:r>
      <w:r>
        <w:rPr>
          <w:rFonts w:ascii="Arial" w:eastAsia="Arial" w:hAnsi="Arial" w:cs="Arial"/>
          <w:b/>
          <w:bCs/>
        </w:rPr>
        <w:t>PRETORIA</w:t>
      </w:r>
    </w:p>
    <w:p>
      <w:pPr>
        <w:spacing w:before="0" w:after="240" w:line="480" w:lineRule="auto"/>
        <w:jc w:val="right"/>
      </w:pPr>
      <w:r>
        <w:rPr>
          <w:rFonts w:ascii="Arial" w:eastAsia="Arial" w:hAnsi="Arial" w:cs="Arial"/>
        </w:rPr>
        <w:t>Case number:</w:t>
      </w:r>
      <w:r>
        <w:rPr>
          <w:rFonts w:ascii="Arial" w:eastAsia="Arial" w:hAnsi="Arial" w:cs="Arial"/>
        </w:rPr>
        <w:t xml:space="preserve"> 16402/2017</w:t>
      </w:r>
    </w:p>
    <w:p>
      <w:pPr>
        <w:spacing w:before="0" w:after="240" w:line="480" w:lineRule="auto"/>
        <w:jc w:val="both"/>
      </w:pPr>
      <w:r>
        <w:rPr>
          <w:rFonts w:ascii="Arial" w:eastAsia="Arial" w:hAnsi="Arial" w:cs="Arial"/>
        </w:rPr>
        <w:t xml:space="preserve">In the </w:t>
      </w:r>
      <w:r>
        <w:rPr>
          <w:rFonts w:ascii="Arial" w:eastAsia="Arial" w:hAnsi="Arial" w:cs="Arial"/>
        </w:rPr>
        <w:t>matter between</w:t>
      </w:r>
      <w:r>
        <w:rPr>
          <w:rFonts w:ascii="Arial" w:eastAsia="Arial" w:hAnsi="Arial" w:cs="Arial"/>
        </w:rPr>
        <w:t>:</w:t>
      </w:r>
    </w:p>
    <w:p>
      <w:pPr>
        <w:tabs>
          <w:tab w:val="right" w:pos="9072"/>
        </w:tabs>
        <w:spacing w:before="0" w:after="240" w:line="48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THE VOICE OF THE UNBORN BABY NPC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</w:rPr>
        <w:t xml:space="preserve">First </w:t>
      </w:r>
      <w:r>
        <w:rPr>
          <w:rFonts w:ascii="Arial" w:eastAsia="Arial" w:hAnsi="Arial" w:cs="Arial"/>
        </w:rPr>
        <w:t>Applicant</w:t>
      </w:r>
    </w:p>
    <w:p>
      <w:pPr>
        <w:tabs>
          <w:tab w:val="right" w:pos="9072"/>
        </w:tabs>
        <w:spacing w:before="0" w:after="240" w:line="48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CATHOLIC ARCHDIOCESE OF DURBAN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</w:rPr>
        <w:t>Second Applicant</w:t>
      </w:r>
    </w:p>
    <w:p>
      <w:pPr>
        <w:spacing w:before="0" w:after="240" w:line="480" w:lineRule="auto"/>
        <w:jc w:val="both"/>
      </w:pPr>
      <w:r>
        <w:rPr>
          <w:rFonts w:ascii="Arial" w:eastAsia="Arial" w:hAnsi="Arial" w:cs="Arial"/>
        </w:rPr>
        <w:t>and</w:t>
      </w:r>
    </w:p>
    <w:p>
      <w:pPr>
        <w:tabs>
          <w:tab w:val="right" w:pos="9072"/>
        </w:tabs>
        <w:spacing w:before="0" w:after="240" w:line="48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MINISTER OF HOME AFFAIRS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</w:rPr>
        <w:t xml:space="preserve">First </w:t>
      </w:r>
      <w:r>
        <w:rPr>
          <w:rFonts w:ascii="Arial" w:eastAsia="Arial" w:hAnsi="Arial" w:cs="Arial"/>
        </w:rPr>
        <w:t>Respondent</w:t>
      </w:r>
    </w:p>
    <w:p>
      <w:pPr>
        <w:tabs>
          <w:tab w:val="right" w:pos="9072"/>
        </w:tabs>
        <w:spacing w:before="0" w:after="240" w:line="48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MINISTER OF HEALTH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</w:rPr>
        <w:t>Second Respondent</w:t>
      </w:r>
    </w:p>
    <w:p>
      <w:pPr>
        <w:spacing w:before="0" w:after="240"/>
        <w:jc w:val="both"/>
      </w:pPr>
      <w:r>
        <w:rPr>
          <w:rFonts w:ascii="Arial" w:eastAsia="Arial" w:hAnsi="Arial" w:cs="Arial"/>
          <w:b/>
          <w:bCs/>
        </w:rPr>
        <w:t>___________________________________________________________________</w:t>
      </w:r>
    </w:p>
    <w:p>
      <w:pPr>
        <w:spacing w:before="0" w:after="0"/>
        <w:jc w:val="center"/>
      </w:pPr>
      <w:r>
        <w:rPr>
          <w:rFonts w:ascii="Arial" w:eastAsia="Arial" w:hAnsi="Arial" w:cs="Arial"/>
          <w:b/>
          <w:bCs/>
        </w:rPr>
        <w:t xml:space="preserve">SECOND APPLICANT’S </w:t>
      </w:r>
      <w:r>
        <w:rPr>
          <w:rFonts w:ascii="Arial" w:eastAsia="Arial" w:hAnsi="Arial" w:cs="Arial"/>
          <w:b/>
          <w:bCs/>
        </w:rPr>
        <w:t>PRACTICE NOTE</w:t>
      </w:r>
    </w:p>
    <w:p>
      <w:pPr>
        <w:spacing w:before="0" w:after="240" w:line="480" w:lineRule="auto"/>
        <w:jc w:val="both"/>
      </w:pPr>
      <w:r>
        <w:rPr>
          <w:rFonts w:ascii="Arial" w:eastAsia="Arial" w:hAnsi="Arial" w:cs="Arial"/>
          <w:b/>
          <w:bCs/>
        </w:rPr>
        <w:t>___________________________________________________________________</w:t>
      </w:r>
    </w:p>
    <w:p>
      <w:pPr>
        <w:keepNext/>
        <w:widowControl w:val="0"/>
        <w:spacing w:before="240" w:after="240"/>
        <w:jc w:val="both"/>
      </w:pPr>
    </w:p>
    <w:tbl>
      <w:tblPr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128"/>
        <w:gridCol w:w="4890"/>
      </w:tblGrid>
      <w:tr>
        <w:tblPrEx>
          <w:tblInd w:w="22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Date of Hearing: 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Not yet allocated</w:t>
            </w: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22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3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Counsel for the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Second Applicant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ind w:left="2394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 J d’Oliveira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       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072 697 6796</w:t>
            </w:r>
          </w:p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                            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011 290 4000</w:t>
            </w:r>
          </w:p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H V Van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Eedtveldt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082 381 9477</w:t>
            </w:r>
          </w:p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                            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011 290 4000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</w:tc>
      </w:tr>
      <w:tr>
        <w:tblPrEx>
          <w:tblInd w:w="224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Counsel for the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Applicant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Thaldar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   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224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Counsel for the Respondents: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W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Mokhari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SC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    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082 440 3944</w:t>
            </w: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22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/>
        </w:trPr>
        <w:tc>
          <w:tcPr>
            <w:tcW w:w="3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Nature of the Application: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Constitutional challenge to sections 1, 18 and 20(1) of the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Births and Deaths Registration Act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51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of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1992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</w:tc>
      </w:tr>
      <w:tr>
        <w:tblPrEx>
          <w:tblInd w:w="22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/>
        </w:trPr>
        <w:tc>
          <w:tcPr>
            <w:tcW w:w="3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Relief sought by the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Second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Applicant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: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An order declaring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that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sections 1, 18 and 20(1) of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Births and Deaths Registration Act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51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of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1992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  <w:p>
            <w:pPr>
              <w:widowControl w:val="0"/>
              <w:spacing w:before="0" w:after="0" w:line="360" w:lineRule="auto"/>
              <w:ind w:left="720" w:hanging="36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(1)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infringe sections 9 and 15 of the Constitution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;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and </w:t>
            </w:r>
          </w:p>
          <w:p>
            <w:pPr>
              <w:widowControl w:val="0"/>
              <w:spacing w:before="0" w:after="0" w:line="360" w:lineRule="auto"/>
              <w:ind w:left="720" w:hanging="36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(2)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are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inconsistent with the Constitution and invalid </w:t>
            </w:r>
          </w:p>
          <w:p>
            <w:pPr>
              <w:widowControl w:val="0"/>
              <w:spacing w:before="0" w:after="0" w:line="360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to the extent that they prohibit the Second Applicant’s members from burying the remains of their deceased unborn children</w:t>
            </w:r>
          </w:p>
          <w:p>
            <w:pPr>
              <w:widowControl w:val="0"/>
              <w:spacing w:before="0" w:after="0" w:line="360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Ind w:w="22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/>
        </w:trPr>
        <w:tc>
          <w:tcPr>
            <w:tcW w:w="3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Reading of the papers: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480" w:after="0" w:line="360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papers filed of record</w:t>
            </w:r>
          </w:p>
        </w:tc>
      </w:tr>
      <w:tr>
        <w:tblPrEx>
          <w:tblInd w:w="224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95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widowControl w:val="0"/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Estimated Duration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48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One day</w:t>
            </w:r>
          </w:p>
        </w:tc>
      </w:tr>
    </w:tbl>
    <w:p>
      <w:pPr>
        <w:spacing w:before="0" w:after="360" w:line="480" w:lineRule="auto"/>
        <w:jc w:val="both"/>
      </w:pPr>
    </w:p>
    <w:sectPr>
      <w:type w:val="nextPage"/>
      <w:pgSz w:w="11906" w:h="16838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