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pPr>
        <w:spacing w:before="0" w:after="0" w:line="360" w:lineRule="auto"/>
        <w:jc w:val="center"/>
      </w:pPr>
      <w:r>
        <w:rPr>
          <w:rFonts w:ascii="Arial" w:eastAsia="Arial" w:hAnsi="Arial" w:cs="Arial"/>
          <w:b/>
          <w:bCs/>
        </w:rPr>
        <w:t xml:space="preserve"> </w:t>
      </w:r>
      <w:r>
        <w:rPr>
          <w:rFonts w:ascii="Arial" w:eastAsia="Arial" w:hAnsi="Arial" w:cs="Arial"/>
          <w:b/>
          <w:bCs/>
        </w:rPr>
        <w:t>IN THE HIGH COURT OF SOUTH AFRICA</w:t>
      </w:r>
    </w:p>
    <w:p>
      <w:pPr>
        <w:spacing w:before="0" w:after="240" w:line="360" w:lineRule="auto"/>
        <w:jc w:val="center"/>
      </w:pPr>
      <w:r>
        <w:rPr>
          <w:rFonts w:ascii="Arial" w:eastAsia="Arial" w:hAnsi="Arial" w:cs="Arial"/>
          <w:b/>
          <w:bCs/>
        </w:rPr>
        <w:t xml:space="preserve">GAUTENG DIVISION, </w:t>
      </w:r>
      <w:r>
        <w:rPr>
          <w:rFonts w:ascii="Arial" w:eastAsia="Arial" w:hAnsi="Arial" w:cs="Arial"/>
          <w:b/>
          <w:bCs/>
        </w:rPr>
        <w:t>PRETORIA</w:t>
      </w:r>
    </w:p>
    <w:p>
      <w:pPr>
        <w:spacing w:before="0" w:after="240" w:line="480" w:lineRule="auto"/>
        <w:jc w:val="right"/>
      </w:pPr>
      <w:r>
        <w:rPr>
          <w:rFonts w:ascii="Arial" w:eastAsia="Arial" w:hAnsi="Arial" w:cs="Arial"/>
        </w:rPr>
        <w:t>Case number:</w:t>
      </w:r>
      <w:r>
        <w:rPr>
          <w:rFonts w:ascii="Arial" w:eastAsia="Arial" w:hAnsi="Arial" w:cs="Arial"/>
        </w:rPr>
        <w:t xml:space="preserve"> 16402/2017</w:t>
      </w:r>
    </w:p>
    <w:p>
      <w:pPr>
        <w:spacing w:before="0" w:after="240" w:line="480" w:lineRule="auto"/>
        <w:jc w:val="both"/>
      </w:pPr>
      <w:r>
        <w:rPr>
          <w:rFonts w:ascii="Arial" w:eastAsia="Arial" w:hAnsi="Arial" w:cs="Arial"/>
        </w:rPr>
        <w:t xml:space="preserve">In the </w:t>
      </w:r>
      <w:r>
        <w:rPr>
          <w:rFonts w:ascii="Arial" w:eastAsia="Arial" w:hAnsi="Arial" w:cs="Arial"/>
        </w:rPr>
        <w:t>matter between</w:t>
      </w:r>
      <w:r>
        <w:rPr>
          <w:rFonts w:ascii="Arial" w:eastAsia="Arial" w:hAnsi="Arial" w:cs="Arial"/>
        </w:rPr>
        <w:t>:</w:t>
      </w:r>
    </w:p>
    <w:p>
      <w:pPr>
        <w:tabs>
          <w:tab w:val="right" w:pos="9072"/>
        </w:tabs>
        <w:spacing w:before="0" w:after="240" w:line="480" w:lineRule="auto"/>
        <w:jc w:val="both"/>
        <w:rPr>
          <w:sz w:val="24"/>
          <w:szCs w:val="24"/>
        </w:rPr>
      </w:pPr>
      <w:r>
        <w:rPr>
          <w:rFonts w:ascii="Arial" w:eastAsia="Arial" w:hAnsi="Arial" w:cs="Arial"/>
          <w:b/>
          <w:bCs/>
        </w:rPr>
        <w:t>THE VOICE OF THE UNBORN BABY NPC</w:t>
      </w:r>
      <w:r>
        <w:rPr>
          <w:rFonts w:ascii="Arial" w:eastAsia="Arial" w:hAnsi="Arial" w:cs="Arial"/>
          <w:b/>
          <w:bCs/>
          <w:sz w:val="24"/>
          <w:szCs w:val="24"/>
        </w:rPr>
        <w:tab/>
      </w:r>
      <w:r>
        <w:rPr>
          <w:rFonts w:ascii="Arial" w:eastAsia="Arial" w:hAnsi="Arial" w:cs="Arial"/>
        </w:rPr>
        <w:t xml:space="preserve">First </w:t>
      </w:r>
      <w:r>
        <w:rPr>
          <w:rFonts w:ascii="Arial" w:eastAsia="Arial" w:hAnsi="Arial" w:cs="Arial"/>
        </w:rPr>
        <w:t>Applicant</w:t>
      </w:r>
    </w:p>
    <w:p>
      <w:pPr>
        <w:tabs>
          <w:tab w:val="right" w:pos="9072"/>
        </w:tabs>
        <w:spacing w:before="0" w:after="240" w:line="480" w:lineRule="auto"/>
        <w:jc w:val="both"/>
        <w:rPr>
          <w:sz w:val="24"/>
          <w:szCs w:val="24"/>
        </w:rPr>
      </w:pPr>
      <w:r>
        <w:rPr>
          <w:rFonts w:ascii="Arial" w:eastAsia="Arial" w:hAnsi="Arial" w:cs="Arial"/>
          <w:b/>
          <w:bCs/>
        </w:rPr>
        <w:t>CATHOLIC ARCHDIOCESE OF DURBAN</w:t>
      </w:r>
      <w:r>
        <w:rPr>
          <w:rFonts w:ascii="Arial" w:eastAsia="Arial" w:hAnsi="Arial" w:cs="Arial"/>
          <w:b/>
          <w:bCs/>
          <w:sz w:val="24"/>
          <w:szCs w:val="24"/>
        </w:rPr>
        <w:tab/>
      </w:r>
      <w:r>
        <w:rPr>
          <w:rFonts w:ascii="Arial" w:eastAsia="Arial" w:hAnsi="Arial" w:cs="Arial"/>
        </w:rPr>
        <w:t>Second Applicant</w:t>
      </w:r>
    </w:p>
    <w:p>
      <w:pPr>
        <w:spacing w:before="0" w:after="240" w:line="480" w:lineRule="auto"/>
        <w:jc w:val="both"/>
      </w:pPr>
      <w:r>
        <w:rPr>
          <w:rFonts w:ascii="Arial" w:eastAsia="Arial" w:hAnsi="Arial" w:cs="Arial"/>
        </w:rPr>
        <w:t>and</w:t>
      </w:r>
    </w:p>
    <w:p>
      <w:pPr>
        <w:tabs>
          <w:tab w:val="right" w:pos="9072"/>
        </w:tabs>
        <w:spacing w:before="0" w:after="240" w:line="480" w:lineRule="auto"/>
        <w:jc w:val="both"/>
        <w:rPr>
          <w:sz w:val="24"/>
          <w:szCs w:val="24"/>
        </w:rPr>
      </w:pPr>
      <w:r>
        <w:rPr>
          <w:rFonts w:ascii="Arial" w:eastAsia="Arial" w:hAnsi="Arial" w:cs="Arial"/>
          <w:b/>
          <w:bCs/>
        </w:rPr>
        <w:t>MINISTER OF HOME AFFAIRS</w:t>
      </w:r>
      <w:r>
        <w:rPr>
          <w:rFonts w:ascii="Arial" w:eastAsia="Arial" w:hAnsi="Arial" w:cs="Arial"/>
          <w:b/>
          <w:bCs/>
          <w:sz w:val="24"/>
          <w:szCs w:val="24"/>
        </w:rPr>
        <w:tab/>
      </w:r>
      <w:r>
        <w:rPr>
          <w:rFonts w:ascii="Arial" w:eastAsia="Arial" w:hAnsi="Arial" w:cs="Arial"/>
        </w:rPr>
        <w:t xml:space="preserve">First </w:t>
      </w:r>
      <w:r>
        <w:rPr>
          <w:rFonts w:ascii="Arial" w:eastAsia="Arial" w:hAnsi="Arial" w:cs="Arial"/>
        </w:rPr>
        <w:t>Respondent</w:t>
      </w:r>
    </w:p>
    <w:p>
      <w:pPr>
        <w:tabs>
          <w:tab w:val="right" w:pos="9072"/>
        </w:tabs>
        <w:spacing w:before="0" w:after="240" w:line="480" w:lineRule="auto"/>
        <w:jc w:val="both"/>
        <w:rPr>
          <w:sz w:val="24"/>
          <w:szCs w:val="24"/>
        </w:rPr>
      </w:pPr>
      <w:r>
        <w:rPr>
          <w:rFonts w:ascii="Arial" w:eastAsia="Arial" w:hAnsi="Arial" w:cs="Arial"/>
          <w:b/>
          <w:bCs/>
        </w:rPr>
        <w:t>MINISTER OF HEALTH</w:t>
      </w:r>
      <w:r>
        <w:rPr>
          <w:rFonts w:ascii="Arial" w:eastAsia="Arial" w:hAnsi="Arial" w:cs="Arial"/>
          <w:b/>
          <w:bCs/>
          <w:sz w:val="24"/>
          <w:szCs w:val="24"/>
        </w:rPr>
        <w:tab/>
      </w:r>
      <w:r>
        <w:rPr>
          <w:rFonts w:ascii="Arial" w:eastAsia="Arial" w:hAnsi="Arial" w:cs="Arial"/>
        </w:rPr>
        <w:t>Second Respondent</w:t>
      </w:r>
    </w:p>
    <w:p>
      <w:pPr>
        <w:spacing w:before="0" w:after="240"/>
        <w:jc w:val="both"/>
      </w:pPr>
      <w:r>
        <w:rPr>
          <w:rFonts w:ascii="Arial" w:eastAsia="Arial" w:hAnsi="Arial" w:cs="Arial"/>
          <w:b/>
          <w:bCs/>
        </w:rPr>
        <w:t>___________________________________________________________________</w:t>
      </w:r>
    </w:p>
    <w:p>
      <w:pPr>
        <w:spacing w:before="0" w:after="0"/>
        <w:jc w:val="center"/>
      </w:pPr>
      <w:r>
        <w:rPr>
          <w:rFonts w:ascii="Arial" w:eastAsia="Arial" w:hAnsi="Arial" w:cs="Arial"/>
          <w:b/>
          <w:bCs/>
        </w:rPr>
        <w:t>SECOND APPLICANT’S HEADS OF ARGUMENT</w:t>
      </w:r>
    </w:p>
    <w:p>
      <w:pPr>
        <w:spacing w:before="0" w:after="240" w:line="480" w:lineRule="auto"/>
        <w:jc w:val="both"/>
      </w:pPr>
      <w:r>
        <w:rPr>
          <w:rFonts w:ascii="Arial" w:eastAsia="Arial" w:hAnsi="Arial" w:cs="Arial"/>
          <w:b/>
          <w:bCs/>
        </w:rPr>
        <w:t>___________________________________________________________________</w:t>
      </w:r>
    </w:p>
    <w:p>
      <w:pPr>
        <w:spacing w:before="0" w:after="360" w:line="480" w:lineRule="auto"/>
        <w:jc w:val="both"/>
      </w:pPr>
      <w:r>
        <w:rPr>
          <w:rFonts w:ascii="Arial" w:eastAsia="Arial" w:hAnsi="Arial" w:cs="Arial"/>
          <w:b/>
          <w:bCs/>
        </w:rPr>
        <w:t>INTRODUCTION</w:t>
      </w:r>
    </w:p>
    <w:p>
      <w:pPr>
        <w:numPr>
          <w:ilvl w:val="0"/>
          <w:numId w:val="1"/>
        </w:numPr>
        <w:pBdr>
          <w:left w:val="none" w:sz="0" w:space="20" w:color="auto"/>
        </w:pBdr>
        <w:spacing w:before="0" w:line="480" w:lineRule="auto"/>
        <w:ind w:left="709" w:right="0" w:hanging="689"/>
        <w:jc w:val="both"/>
        <w:rPr>
          <w:rFonts w:ascii="Arial" w:eastAsia="Arial" w:hAnsi="Arial" w:cs="Arial"/>
        </w:rPr>
      </w:pPr>
      <w:r>
        <w:rPr>
          <w:rFonts w:ascii="Arial" w:eastAsia="Arial" w:hAnsi="Arial" w:cs="Arial"/>
        </w:rPr>
        <w:t xml:space="preserve">In these heads of argument, we refer to </w:t>
      </w:r>
      <w:r>
        <w:rPr>
          <w:rFonts w:ascii="Arial" w:eastAsia="Arial" w:hAnsi="Arial" w:cs="Arial"/>
        </w:rPr>
        <w:t>–</w:t>
      </w:r>
    </w:p>
    <w:p>
      <w:pPr>
        <w:numPr>
          <w:ilvl w:val="1"/>
          <w:numId w:val="1"/>
        </w:numPr>
        <w:spacing w:after="360" w:line="480" w:lineRule="auto"/>
        <w:ind w:left="1440" w:right="0" w:hanging="720"/>
        <w:jc w:val="both"/>
        <w:rPr>
          <w:rFonts w:ascii="Arial" w:eastAsia="Arial" w:hAnsi="Arial" w:cs="Arial"/>
        </w:rPr>
      </w:pPr>
      <w:r>
        <w:rPr>
          <w:rFonts w:ascii="Arial" w:eastAsia="Arial" w:hAnsi="Arial" w:cs="Arial"/>
        </w:rPr>
        <w:t xml:space="preserve">the </w:t>
      </w:r>
      <w:r>
        <w:rPr>
          <w:rFonts w:ascii="Arial" w:eastAsia="Arial" w:hAnsi="Arial" w:cs="Arial"/>
        </w:rPr>
        <w:t>first applicant as “</w:t>
      </w:r>
      <w:r>
        <w:rPr>
          <w:rFonts w:ascii="Arial" w:eastAsia="Arial" w:hAnsi="Arial" w:cs="Arial"/>
          <w:b/>
          <w:bCs/>
        </w:rPr>
        <w:t>the applicant</w:t>
      </w:r>
      <w:r>
        <w:rPr>
          <w:rFonts w:ascii="Arial" w:eastAsia="Arial" w:hAnsi="Arial" w:cs="Arial"/>
        </w:rPr>
        <w:t xml:space="preserve">”; </w:t>
      </w:r>
    </w:p>
    <w:p>
      <w:pPr>
        <w:numPr>
          <w:ilvl w:val="1"/>
          <w:numId w:val="1"/>
        </w:numPr>
        <w:spacing w:after="360" w:line="480" w:lineRule="auto"/>
        <w:ind w:left="1440" w:right="0" w:hanging="720"/>
        <w:jc w:val="both"/>
        <w:rPr>
          <w:rFonts w:ascii="Arial" w:eastAsia="Arial" w:hAnsi="Arial" w:cs="Arial"/>
        </w:rPr>
      </w:pPr>
      <w:r>
        <w:rPr>
          <w:rFonts w:ascii="Arial" w:eastAsia="Arial" w:hAnsi="Arial" w:cs="Arial"/>
        </w:rPr>
        <w:t>the second applicant as “</w:t>
      </w:r>
      <w:r>
        <w:rPr>
          <w:rFonts w:ascii="Arial" w:eastAsia="Arial" w:hAnsi="Arial" w:cs="Arial"/>
          <w:b/>
          <w:bCs/>
        </w:rPr>
        <w:t>the Church</w:t>
      </w:r>
      <w:r>
        <w:rPr>
          <w:rFonts w:ascii="Arial" w:eastAsia="Arial" w:hAnsi="Arial" w:cs="Arial"/>
        </w:rPr>
        <w:t>”;</w:t>
      </w:r>
      <w:r>
        <w:rPr>
          <w:rFonts w:ascii="Arial" w:eastAsia="Arial" w:hAnsi="Arial" w:cs="Arial"/>
        </w:rPr>
        <w:t xml:space="preserve">  </w:t>
      </w:r>
    </w:p>
    <w:p>
      <w:pPr>
        <w:numPr>
          <w:ilvl w:val="1"/>
          <w:numId w:val="1"/>
        </w:numPr>
        <w:spacing w:after="360" w:line="480" w:lineRule="auto"/>
        <w:ind w:left="1440" w:right="0" w:hanging="720"/>
        <w:jc w:val="both"/>
        <w:rPr>
          <w:rFonts w:ascii="Arial" w:eastAsia="Arial" w:hAnsi="Arial" w:cs="Arial"/>
        </w:rPr>
      </w:pPr>
      <w:r>
        <w:rPr>
          <w:rFonts w:ascii="Arial" w:eastAsia="Arial" w:hAnsi="Arial" w:cs="Arial"/>
        </w:rPr>
        <w:t>the first and second respondents as "</w:t>
      </w:r>
      <w:r>
        <w:rPr>
          <w:rFonts w:ascii="Arial" w:eastAsia="Arial" w:hAnsi="Arial" w:cs="Arial"/>
          <w:b/>
          <w:bCs/>
        </w:rPr>
        <w:t>the respondents</w:t>
      </w:r>
      <w:r>
        <w:rPr>
          <w:rFonts w:ascii="Arial" w:eastAsia="Arial" w:hAnsi="Arial" w:cs="Arial"/>
        </w:rPr>
        <w:t xml:space="preserve">"; </w:t>
      </w:r>
    </w:p>
    <w:p>
      <w:pPr>
        <w:numPr>
          <w:ilvl w:val="1"/>
          <w:numId w:val="1"/>
        </w:numPr>
        <w:spacing w:after="360" w:line="480" w:lineRule="auto"/>
        <w:ind w:left="1440" w:right="0" w:hanging="720"/>
        <w:jc w:val="both"/>
        <w:rPr>
          <w:rFonts w:ascii="Arial" w:eastAsia="Arial" w:hAnsi="Arial" w:cs="Arial"/>
        </w:rPr>
      </w:pPr>
      <w:r>
        <w:rPr>
          <w:rFonts w:ascii="Arial" w:eastAsia="Arial" w:hAnsi="Arial" w:cs="Arial"/>
        </w:rPr>
        <w:t xml:space="preserve">the Births and Deaths Registration Act </w:t>
      </w:r>
      <w:r>
        <w:rPr>
          <w:rFonts w:ascii="Arial" w:eastAsia="Arial" w:hAnsi="Arial" w:cs="Arial"/>
        </w:rPr>
        <w:t xml:space="preserve">51 </w:t>
      </w:r>
      <w:r>
        <w:rPr>
          <w:rFonts w:ascii="Arial" w:eastAsia="Arial" w:hAnsi="Arial" w:cs="Arial"/>
        </w:rPr>
        <w:t xml:space="preserve">of </w:t>
      </w:r>
      <w:r>
        <w:rPr>
          <w:rFonts w:ascii="Arial" w:eastAsia="Arial" w:hAnsi="Arial" w:cs="Arial"/>
        </w:rPr>
        <w:t>1992</w:t>
      </w:r>
      <w:r>
        <w:rPr>
          <w:rFonts w:ascii="Arial" w:eastAsia="Arial" w:hAnsi="Arial" w:cs="Arial"/>
        </w:rPr>
        <w:t xml:space="preserve"> as “</w:t>
      </w:r>
      <w:r>
        <w:rPr>
          <w:rFonts w:ascii="Arial" w:eastAsia="Arial" w:hAnsi="Arial" w:cs="Arial"/>
          <w:b/>
          <w:bCs/>
        </w:rPr>
        <w:t>BADRA</w:t>
      </w:r>
      <w:r>
        <w:rPr>
          <w:rFonts w:ascii="Arial" w:eastAsia="Arial" w:hAnsi="Arial" w:cs="Arial"/>
        </w:rPr>
        <w:t>”;</w:t>
      </w:r>
    </w:p>
    <w:p>
      <w:pPr>
        <w:numPr>
          <w:ilvl w:val="1"/>
          <w:numId w:val="1"/>
        </w:numPr>
        <w:spacing w:after="360" w:line="480" w:lineRule="auto"/>
        <w:ind w:left="1440" w:right="0" w:hanging="720"/>
        <w:jc w:val="both"/>
        <w:rPr>
          <w:rFonts w:ascii="Arial" w:eastAsia="Arial" w:hAnsi="Arial" w:cs="Arial"/>
        </w:rPr>
      </w:pPr>
      <w:r>
        <w:rPr>
          <w:rFonts w:ascii="Arial" w:eastAsia="Arial" w:hAnsi="Arial" w:cs="Arial"/>
        </w:rPr>
        <w:t>the</w:t>
      </w:r>
      <w:r>
        <w:rPr>
          <w:rFonts w:ascii="Arial" w:eastAsia="Arial" w:hAnsi="Arial" w:cs="Arial"/>
        </w:rPr>
        <w:t xml:space="preserve"> definitions </w:t>
      </w:r>
      <w:r>
        <w:rPr>
          <w:rFonts w:ascii="Arial" w:eastAsia="Arial" w:hAnsi="Arial" w:cs="Arial"/>
        </w:rPr>
        <w:t>of “birth”, “burial”, “corpse” and “still-born”</w:t>
      </w:r>
      <w:r>
        <w:rPr>
          <w:rFonts w:ascii="Arial" w:eastAsia="Arial" w:hAnsi="Arial" w:cs="Arial"/>
        </w:rPr>
        <w:t xml:space="preserve"> </w:t>
      </w:r>
      <w:r>
        <w:rPr>
          <w:rFonts w:ascii="Arial" w:eastAsia="Arial" w:hAnsi="Arial" w:cs="Arial"/>
        </w:rPr>
        <w:t xml:space="preserve">contained in </w:t>
      </w:r>
      <w:r>
        <w:rPr>
          <w:rFonts w:ascii="Arial" w:eastAsia="Arial" w:hAnsi="Arial" w:cs="Arial"/>
        </w:rPr>
        <w:t xml:space="preserve">section </w:t>
      </w:r>
      <w:r>
        <w:rPr>
          <w:rFonts w:ascii="Arial" w:eastAsia="Arial" w:hAnsi="Arial" w:cs="Arial"/>
        </w:rPr>
        <w:t xml:space="preserve">1 </w:t>
      </w:r>
      <w:r>
        <w:rPr>
          <w:rFonts w:ascii="Arial" w:eastAsia="Arial" w:hAnsi="Arial" w:cs="Arial"/>
        </w:rPr>
        <w:t xml:space="preserve">together with sections </w:t>
      </w:r>
      <w:r>
        <w:rPr>
          <w:rFonts w:ascii="Arial" w:eastAsia="Arial" w:hAnsi="Arial" w:cs="Arial"/>
        </w:rPr>
        <w:t xml:space="preserve">18 </w:t>
      </w:r>
      <w:r>
        <w:rPr>
          <w:rFonts w:ascii="Arial" w:eastAsia="Arial" w:hAnsi="Arial" w:cs="Arial"/>
        </w:rPr>
        <w:t xml:space="preserve">and </w:t>
      </w:r>
      <w:r>
        <w:rPr>
          <w:rFonts w:ascii="Arial" w:eastAsia="Arial" w:hAnsi="Arial" w:cs="Arial"/>
        </w:rPr>
        <w:t xml:space="preserve">20(1) </w:t>
      </w:r>
      <w:r>
        <w:rPr>
          <w:rFonts w:ascii="Arial" w:eastAsia="Arial" w:hAnsi="Arial" w:cs="Arial"/>
        </w:rPr>
        <w:t xml:space="preserve">of </w:t>
      </w:r>
      <w:r>
        <w:rPr>
          <w:rFonts w:ascii="Arial" w:eastAsia="Arial" w:hAnsi="Arial" w:cs="Arial"/>
        </w:rPr>
        <w:t>BADRA</w:t>
      </w:r>
      <w:r>
        <w:rPr>
          <w:rFonts w:ascii="Arial" w:eastAsia="Arial" w:hAnsi="Arial" w:cs="Arial"/>
        </w:rPr>
        <w:t xml:space="preserve"> as "</w:t>
      </w:r>
      <w:r>
        <w:rPr>
          <w:rFonts w:ascii="Arial" w:eastAsia="Arial" w:hAnsi="Arial" w:cs="Arial"/>
          <w:b/>
          <w:bCs/>
        </w:rPr>
        <w:t>the impugned legislation</w:t>
      </w:r>
      <w:r>
        <w:rPr>
          <w:rFonts w:ascii="Arial" w:eastAsia="Arial" w:hAnsi="Arial" w:cs="Arial"/>
        </w:rPr>
        <w:t xml:space="preserve">". </w:t>
      </w:r>
    </w:p>
    <w:p>
      <w:pPr>
        <w:numPr>
          <w:ilvl w:val="0"/>
          <w:numId w:val="1"/>
        </w:numPr>
        <w:pBdr>
          <w:left w:val="none" w:sz="0" w:space="20" w:color="auto"/>
        </w:pBdr>
        <w:spacing w:line="480" w:lineRule="auto"/>
        <w:ind w:left="709" w:right="0" w:hanging="689"/>
        <w:jc w:val="both"/>
        <w:rPr>
          <w:rFonts w:ascii="Arial" w:eastAsia="Arial" w:hAnsi="Arial" w:cs="Arial"/>
        </w:rPr>
      </w:pPr>
      <w:r>
        <w:rPr>
          <w:rFonts w:ascii="Arial" w:eastAsia="Arial" w:hAnsi="Arial" w:cs="Arial"/>
        </w:rPr>
        <w:t>The Church contends that</w:t>
      </w:r>
      <w:r>
        <w:rPr>
          <w:rFonts w:ascii="Arial" w:eastAsia="Arial" w:hAnsi="Arial" w:cs="Arial"/>
        </w:rPr>
        <w:t xml:space="preserve"> </w:t>
      </w:r>
      <w:r>
        <w:rPr>
          <w:rFonts w:ascii="Arial" w:eastAsia="Arial" w:hAnsi="Arial" w:cs="Arial"/>
        </w:rPr>
        <w:t>–</w:t>
      </w:r>
    </w:p>
    <w:p>
      <w:pPr>
        <w:numPr>
          <w:ilvl w:val="1"/>
          <w:numId w:val="2"/>
        </w:numPr>
        <w:spacing w:after="360" w:line="480" w:lineRule="auto"/>
        <w:ind w:left="1418" w:right="0" w:hanging="709"/>
        <w:jc w:val="both"/>
        <w:rPr>
          <w:rFonts w:ascii="Arial" w:eastAsia="Arial" w:hAnsi="Arial" w:cs="Arial"/>
        </w:rPr>
      </w:pPr>
      <w:r>
        <w:rPr>
          <w:rFonts w:ascii="Arial" w:eastAsia="Arial" w:hAnsi="Arial" w:cs="Arial"/>
        </w:rPr>
        <w:t xml:space="preserve">the impugned legislation </w:t>
      </w:r>
      <w:r>
        <w:rPr>
          <w:rFonts w:ascii="Arial" w:eastAsia="Arial" w:hAnsi="Arial" w:cs="Arial"/>
        </w:rPr>
        <w:t>infringes</w:t>
      </w:r>
      <w:r>
        <w:rPr>
          <w:rFonts w:ascii="Arial" w:eastAsia="Arial" w:hAnsi="Arial" w:cs="Arial"/>
        </w:rPr>
        <w:t xml:space="preserve"> the Church’s members’ </w:t>
      </w:r>
      <w:r>
        <w:rPr>
          <w:rFonts w:ascii="Arial" w:eastAsia="Arial" w:hAnsi="Arial" w:cs="Arial"/>
        </w:rPr>
        <w:t xml:space="preserve">constitutional </w:t>
      </w:r>
      <w:r>
        <w:rPr>
          <w:rFonts w:ascii="Arial" w:eastAsia="Arial" w:hAnsi="Arial" w:cs="Arial"/>
        </w:rPr>
        <w:t xml:space="preserve">rights </w:t>
      </w:r>
      <w:r>
        <w:rPr>
          <w:rFonts w:ascii="Arial" w:eastAsia="Arial" w:hAnsi="Arial" w:cs="Arial"/>
        </w:rPr>
        <w:t xml:space="preserve">to </w:t>
      </w:r>
      <w:r>
        <w:rPr>
          <w:rFonts w:ascii="Arial" w:eastAsia="Arial" w:hAnsi="Arial" w:cs="Arial"/>
        </w:rPr>
        <w:t>equality</w:t>
      </w:r>
      <w:r>
        <w:rPr>
          <w:rFonts w:ascii="Arial" w:eastAsia="Arial" w:hAnsi="Arial" w:cs="Arial"/>
        </w:rPr>
        <w:t xml:space="preserve"> and </w:t>
      </w:r>
      <w:r>
        <w:rPr>
          <w:rFonts w:ascii="Arial" w:eastAsia="Arial" w:hAnsi="Arial" w:cs="Arial"/>
        </w:rPr>
        <w:t xml:space="preserve">to freedom of religion </w:t>
      </w:r>
      <w:r>
        <w:rPr>
          <w:rFonts w:ascii="Arial" w:eastAsia="Arial" w:hAnsi="Arial" w:cs="Arial"/>
        </w:rPr>
        <w:t>contained in sections 9 and 15 of the Constitution</w:t>
      </w:r>
      <w:r>
        <w:rPr>
          <w:rFonts w:ascii="Arial" w:eastAsia="Arial" w:hAnsi="Arial" w:cs="Arial"/>
        </w:rPr>
        <w:t xml:space="preserve"> (“</w:t>
      </w:r>
      <w:r>
        <w:rPr>
          <w:rFonts w:ascii="Arial" w:eastAsia="Arial" w:hAnsi="Arial" w:cs="Arial"/>
          <w:b/>
          <w:bCs/>
        </w:rPr>
        <w:t xml:space="preserve">the </w:t>
      </w:r>
      <w:r>
        <w:rPr>
          <w:rFonts w:ascii="Arial" w:eastAsia="Arial" w:hAnsi="Arial" w:cs="Arial"/>
          <w:b/>
          <w:bCs/>
        </w:rPr>
        <w:t>infringement</w:t>
      </w:r>
      <w:r>
        <w:rPr>
          <w:rFonts w:ascii="Arial" w:eastAsia="Arial" w:hAnsi="Arial" w:cs="Arial"/>
          <w:b/>
          <w:bCs/>
        </w:rPr>
        <w:t>s</w:t>
      </w:r>
      <w:r>
        <w:rPr>
          <w:rFonts w:ascii="Arial" w:eastAsia="Arial" w:hAnsi="Arial" w:cs="Arial"/>
        </w:rPr>
        <w:t>”);</w:t>
      </w:r>
      <w:r>
        <w:rPr>
          <w:rFonts w:ascii="Arial" w:eastAsia="Arial" w:hAnsi="Arial" w:cs="Arial"/>
        </w:rPr>
        <w:t xml:space="preserve"> </w:t>
      </w:r>
    </w:p>
    <w:p>
      <w:pPr>
        <w:numPr>
          <w:ilvl w:val="1"/>
          <w:numId w:val="2"/>
        </w:numPr>
        <w:spacing w:after="360" w:line="480" w:lineRule="auto"/>
        <w:ind w:left="1418" w:right="0" w:hanging="709"/>
        <w:jc w:val="both"/>
        <w:rPr>
          <w:rFonts w:ascii="Arial" w:eastAsia="Arial" w:hAnsi="Arial" w:cs="Arial"/>
        </w:rPr>
      </w:pPr>
      <w:r>
        <w:rPr>
          <w:rFonts w:ascii="Arial" w:eastAsia="Arial" w:hAnsi="Arial" w:cs="Arial"/>
        </w:rPr>
        <w:t xml:space="preserve">the </w:t>
      </w:r>
      <w:r>
        <w:rPr>
          <w:rFonts w:ascii="Arial" w:eastAsia="Arial" w:hAnsi="Arial" w:cs="Arial"/>
        </w:rPr>
        <w:t>infringement</w:t>
      </w:r>
      <w:r>
        <w:rPr>
          <w:rFonts w:ascii="Arial" w:eastAsia="Arial" w:hAnsi="Arial" w:cs="Arial"/>
        </w:rPr>
        <w:t>s</w:t>
      </w:r>
      <w:r>
        <w:rPr>
          <w:rFonts w:ascii="Arial" w:eastAsia="Arial" w:hAnsi="Arial" w:cs="Arial"/>
        </w:rPr>
        <w:t xml:space="preserve"> </w:t>
      </w:r>
      <w:r>
        <w:rPr>
          <w:rFonts w:ascii="Arial" w:eastAsia="Arial" w:hAnsi="Arial" w:cs="Arial"/>
        </w:rPr>
        <w:t xml:space="preserve">are not justified </w:t>
      </w:r>
      <w:r>
        <w:rPr>
          <w:rFonts w:ascii="Arial" w:eastAsia="Arial" w:hAnsi="Arial" w:cs="Arial"/>
        </w:rPr>
        <w:t>under section 36 of the Constitution</w:t>
      </w:r>
      <w:r>
        <w:rPr>
          <w:rFonts w:ascii="Arial" w:eastAsia="Arial" w:hAnsi="Arial" w:cs="Arial"/>
        </w:rPr>
        <w:t xml:space="preserve"> (“</w:t>
      </w:r>
      <w:r>
        <w:rPr>
          <w:rFonts w:ascii="Arial" w:eastAsia="Arial" w:hAnsi="Arial" w:cs="Arial"/>
          <w:b/>
          <w:bCs/>
        </w:rPr>
        <w:t xml:space="preserve">the </w:t>
      </w:r>
      <w:r>
        <w:rPr>
          <w:rFonts w:ascii="Arial" w:eastAsia="Arial" w:hAnsi="Arial" w:cs="Arial"/>
          <w:b/>
          <w:bCs/>
        </w:rPr>
        <w:t xml:space="preserve">lack of </w:t>
      </w:r>
      <w:r>
        <w:rPr>
          <w:rFonts w:ascii="Arial" w:eastAsia="Arial" w:hAnsi="Arial" w:cs="Arial"/>
          <w:b/>
          <w:bCs/>
        </w:rPr>
        <w:t>justification</w:t>
      </w:r>
      <w:r>
        <w:rPr>
          <w:rFonts w:ascii="Arial" w:eastAsia="Arial" w:hAnsi="Arial" w:cs="Arial"/>
        </w:rPr>
        <w:t>”);</w:t>
      </w:r>
      <w:r>
        <w:rPr>
          <w:rFonts w:ascii="Arial" w:eastAsia="Arial" w:hAnsi="Arial" w:cs="Arial"/>
        </w:rPr>
        <w:t xml:space="preserve"> and</w:t>
      </w:r>
      <w:r>
        <w:rPr>
          <w:rFonts w:ascii="Arial" w:eastAsia="Arial" w:hAnsi="Arial" w:cs="Arial"/>
        </w:rPr>
        <w:t xml:space="preserve"> </w:t>
      </w:r>
      <w:r>
        <w:rPr>
          <w:rFonts w:ascii="Arial" w:eastAsia="Arial" w:hAnsi="Arial" w:cs="Arial"/>
        </w:rPr>
        <w:t>consequently</w:t>
      </w:r>
    </w:p>
    <w:p>
      <w:pPr>
        <w:numPr>
          <w:ilvl w:val="1"/>
          <w:numId w:val="2"/>
        </w:numPr>
        <w:spacing w:after="360" w:line="480" w:lineRule="auto"/>
        <w:ind w:left="1418" w:right="0" w:hanging="709"/>
        <w:jc w:val="both"/>
        <w:rPr>
          <w:rFonts w:ascii="Arial" w:eastAsia="Arial" w:hAnsi="Arial" w:cs="Arial"/>
        </w:rPr>
      </w:pPr>
      <w:r>
        <w:rPr>
          <w:rFonts w:ascii="Arial" w:eastAsia="Arial" w:hAnsi="Arial" w:cs="Arial"/>
        </w:rPr>
        <w:t xml:space="preserve">the impugned legislation </w:t>
      </w:r>
      <w:r>
        <w:rPr>
          <w:rFonts w:ascii="Arial" w:eastAsia="Arial" w:hAnsi="Arial" w:cs="Arial"/>
        </w:rPr>
        <w:t>is liable to be declared</w:t>
      </w:r>
      <w:r>
        <w:rPr>
          <w:rFonts w:ascii="Arial" w:eastAsia="Arial" w:hAnsi="Arial" w:cs="Arial"/>
        </w:rPr>
        <w:t xml:space="preserve"> inconsistent with the Constitution and invalid to the extent of </w:t>
      </w:r>
      <w:r>
        <w:rPr>
          <w:rFonts w:ascii="Arial" w:eastAsia="Arial" w:hAnsi="Arial" w:cs="Arial"/>
        </w:rPr>
        <w:t>that</w:t>
      </w:r>
      <w:r>
        <w:rPr>
          <w:rFonts w:ascii="Arial" w:eastAsia="Arial" w:hAnsi="Arial" w:cs="Arial"/>
        </w:rPr>
        <w:t xml:space="preserve"> inconsistency.</w:t>
      </w:r>
      <w:r>
        <w:rPr>
          <w:rFonts w:ascii="Arial" w:eastAsia="Arial" w:hAnsi="Arial" w:cs="Arial"/>
          <w:color w:val="000000"/>
          <w:sz w:val="21"/>
          <w:szCs w:val="21"/>
          <w:u w:val="none"/>
          <w:vertAlign w:val="superscript"/>
        </w:rPr>
        <w:footnoteReference w:id="0"/>
      </w:r>
    </w:p>
    <w:p>
      <w:pPr>
        <w:numPr>
          <w:ilvl w:val="0"/>
          <w:numId w:val="1"/>
        </w:numPr>
        <w:pBdr>
          <w:left w:val="none" w:sz="0" w:space="20" w:color="auto"/>
        </w:pBdr>
        <w:spacing w:after="360" w:line="480" w:lineRule="auto"/>
        <w:ind w:left="709" w:right="0" w:hanging="689"/>
        <w:jc w:val="both"/>
        <w:rPr>
          <w:rFonts w:ascii="Arial" w:eastAsia="Arial" w:hAnsi="Arial" w:cs="Arial"/>
        </w:rPr>
      </w:pPr>
      <w:r>
        <w:rPr>
          <w:rFonts w:ascii="Arial" w:eastAsia="Arial" w:hAnsi="Arial" w:cs="Arial"/>
        </w:rPr>
        <w:t>In these heads of argument, we</w:t>
      </w:r>
      <w:r>
        <w:rPr>
          <w:rFonts w:ascii="Arial" w:eastAsia="Arial" w:hAnsi="Arial" w:cs="Arial"/>
        </w:rPr>
        <w:t xml:space="preserve"> fi</w:t>
      </w:r>
      <w:r>
        <w:rPr>
          <w:rFonts w:ascii="Arial" w:eastAsia="Arial" w:hAnsi="Arial" w:cs="Arial"/>
        </w:rPr>
        <w:t>r</w:t>
      </w:r>
      <w:r>
        <w:rPr>
          <w:rFonts w:ascii="Arial" w:eastAsia="Arial" w:hAnsi="Arial" w:cs="Arial"/>
        </w:rPr>
        <w:t xml:space="preserve">st address the </w:t>
      </w:r>
      <w:r>
        <w:rPr>
          <w:rFonts w:ascii="Arial" w:eastAsia="Arial" w:hAnsi="Arial" w:cs="Arial"/>
        </w:rPr>
        <w:t>infringement</w:t>
      </w:r>
      <w:r>
        <w:rPr>
          <w:rFonts w:ascii="Arial" w:eastAsia="Arial" w:hAnsi="Arial" w:cs="Arial"/>
        </w:rPr>
        <w:t>s</w:t>
      </w:r>
      <w:r>
        <w:rPr>
          <w:rFonts w:ascii="Arial" w:eastAsia="Arial" w:hAnsi="Arial" w:cs="Arial"/>
        </w:rPr>
        <w:t xml:space="preserve">. </w:t>
      </w:r>
      <w:r>
        <w:rPr>
          <w:rFonts w:ascii="Arial" w:eastAsia="Arial" w:hAnsi="Arial" w:cs="Arial"/>
        </w:rPr>
        <w:t>We</w:t>
      </w:r>
      <w:r>
        <w:rPr>
          <w:rFonts w:ascii="Arial" w:eastAsia="Arial" w:hAnsi="Arial" w:cs="Arial"/>
        </w:rPr>
        <w:t xml:space="preserve"> then address the</w:t>
      </w:r>
      <w:r>
        <w:rPr>
          <w:rFonts w:ascii="Arial" w:eastAsia="Arial" w:hAnsi="Arial" w:cs="Arial"/>
        </w:rPr>
        <w:t xml:space="preserve"> lack of</w:t>
      </w:r>
      <w:r>
        <w:rPr>
          <w:rFonts w:ascii="Arial" w:eastAsia="Arial" w:hAnsi="Arial" w:cs="Arial"/>
        </w:rPr>
        <w:t xml:space="preserve"> justification.</w:t>
      </w:r>
      <w:r>
        <w:rPr>
          <w:rFonts w:ascii="Arial" w:eastAsia="Arial" w:hAnsi="Arial" w:cs="Arial"/>
        </w:rPr>
        <w:t xml:space="preserve"> </w:t>
      </w:r>
      <w:r>
        <w:rPr>
          <w:rFonts w:ascii="Arial" w:eastAsia="Arial" w:hAnsi="Arial" w:cs="Arial"/>
        </w:rPr>
        <w:t>Finally, we</w:t>
      </w:r>
      <w:r>
        <w:rPr>
          <w:rFonts w:ascii="Arial" w:eastAsia="Arial" w:hAnsi="Arial" w:cs="Arial"/>
        </w:rPr>
        <w:t xml:space="preserve"> address </w:t>
      </w:r>
      <w:r>
        <w:rPr>
          <w:rFonts w:ascii="Arial" w:eastAsia="Arial" w:hAnsi="Arial" w:cs="Arial"/>
        </w:rPr>
        <w:t xml:space="preserve">several </w:t>
      </w:r>
      <w:r>
        <w:rPr>
          <w:rFonts w:ascii="Arial" w:eastAsia="Arial" w:hAnsi="Arial" w:cs="Arial"/>
        </w:rPr>
        <w:t>residual</w:t>
      </w:r>
      <w:r>
        <w:rPr>
          <w:rFonts w:ascii="Arial" w:eastAsia="Arial" w:hAnsi="Arial" w:cs="Arial"/>
        </w:rPr>
        <w:t xml:space="preserve"> issues.</w:t>
      </w:r>
    </w:p>
    <w:p>
      <w:pPr>
        <w:keepNext/>
        <w:spacing w:before="0" w:after="360" w:line="480" w:lineRule="auto"/>
        <w:jc w:val="both"/>
      </w:pPr>
      <w:r>
        <w:rPr>
          <w:rFonts w:ascii="Arial" w:eastAsia="Arial" w:hAnsi="Arial" w:cs="Arial"/>
          <w:b/>
          <w:bCs/>
        </w:rPr>
        <w:t xml:space="preserve">THE </w:t>
      </w:r>
      <w:r>
        <w:rPr>
          <w:rFonts w:ascii="Arial" w:eastAsia="Arial" w:hAnsi="Arial" w:cs="Arial"/>
          <w:b/>
          <w:bCs/>
        </w:rPr>
        <w:t>INFRINGEMENT</w:t>
      </w:r>
      <w:r>
        <w:rPr>
          <w:rFonts w:ascii="Arial" w:eastAsia="Arial" w:hAnsi="Arial" w:cs="Arial"/>
          <w:b/>
          <w:bCs/>
        </w:rPr>
        <w:t>S</w:t>
      </w:r>
    </w:p>
    <w:p>
      <w:pPr>
        <w:keepNext/>
        <w:spacing w:before="0" w:after="360" w:line="480" w:lineRule="auto"/>
        <w:jc w:val="both"/>
      </w:pPr>
      <w:r>
        <w:rPr>
          <w:rFonts w:ascii="Arial" w:eastAsia="Arial" w:hAnsi="Arial" w:cs="Arial"/>
          <w:b/>
          <w:bCs/>
          <w:i/>
          <w:iCs/>
        </w:rPr>
        <w:t>T</w:t>
      </w:r>
      <w:r>
        <w:rPr>
          <w:rFonts w:ascii="Arial" w:eastAsia="Arial" w:hAnsi="Arial" w:cs="Arial"/>
          <w:b/>
          <w:bCs/>
          <w:i/>
          <w:iCs/>
        </w:rPr>
        <w:t>he right to</w:t>
      </w:r>
      <w:r>
        <w:rPr>
          <w:rFonts w:ascii="Arial" w:eastAsia="Arial" w:hAnsi="Arial" w:cs="Arial"/>
          <w:b/>
          <w:bCs/>
          <w:i/>
          <w:iCs/>
        </w:rPr>
        <w:t xml:space="preserve"> freedom of</w:t>
      </w:r>
      <w:r>
        <w:rPr>
          <w:rFonts w:ascii="Arial" w:eastAsia="Arial" w:hAnsi="Arial" w:cs="Arial"/>
          <w:b/>
          <w:bCs/>
          <w:i/>
          <w:iCs/>
        </w:rPr>
        <w:t xml:space="preserve"> religion</w:t>
      </w:r>
    </w:p>
    <w:p>
      <w:pPr>
        <w:numPr>
          <w:ilvl w:val="0"/>
          <w:numId w:val="3"/>
        </w:numPr>
        <w:pBdr>
          <w:left w:val="none" w:sz="0" w:space="20" w:color="auto"/>
        </w:pBdr>
        <w:spacing w:before="0" w:after="360" w:line="480" w:lineRule="auto"/>
        <w:ind w:left="709" w:right="0" w:hanging="689"/>
        <w:jc w:val="both"/>
        <w:rPr>
          <w:rFonts w:ascii="Arial" w:eastAsia="Arial" w:hAnsi="Arial" w:cs="Arial"/>
        </w:rPr>
      </w:pPr>
      <w:r>
        <w:rPr>
          <w:rFonts w:ascii="Arial" w:eastAsia="Arial" w:hAnsi="Arial" w:cs="Arial"/>
        </w:rPr>
        <w:t>Section 15 of the</w:t>
      </w:r>
      <w:r>
        <w:rPr>
          <w:rFonts w:ascii="Arial" w:eastAsia="Arial" w:hAnsi="Arial" w:cs="Arial"/>
        </w:rPr>
        <w:t xml:space="preserve"> Constitution </w:t>
      </w:r>
      <w:r>
        <w:rPr>
          <w:rFonts w:ascii="Arial" w:eastAsia="Arial" w:hAnsi="Arial" w:cs="Arial"/>
        </w:rPr>
        <w:t>guarantees to</w:t>
      </w:r>
      <w:r>
        <w:rPr>
          <w:rFonts w:ascii="Arial" w:eastAsia="Arial" w:hAnsi="Arial" w:cs="Arial"/>
        </w:rPr>
        <w:t xml:space="preserve"> everyone</w:t>
      </w:r>
      <w:r>
        <w:rPr>
          <w:rFonts w:ascii="Arial" w:eastAsia="Arial" w:hAnsi="Arial" w:cs="Arial"/>
        </w:rPr>
        <w:t xml:space="preserve"> </w:t>
      </w:r>
      <w:r>
        <w:rPr>
          <w:rFonts w:ascii="Arial" w:eastAsia="Arial" w:hAnsi="Arial" w:cs="Arial"/>
        </w:rPr>
        <w:t xml:space="preserve">the right to </w:t>
      </w:r>
      <w:r>
        <w:rPr>
          <w:rFonts w:ascii="Arial" w:eastAsia="Arial" w:hAnsi="Arial" w:cs="Arial"/>
        </w:rPr>
        <w:t xml:space="preserve">freedom of </w:t>
      </w:r>
      <w:r>
        <w:rPr>
          <w:rFonts w:ascii="Arial" w:eastAsia="Arial" w:hAnsi="Arial" w:cs="Arial"/>
        </w:rPr>
        <w:t>conscience</w:t>
      </w:r>
      <w:r>
        <w:rPr>
          <w:rFonts w:ascii="Arial" w:eastAsia="Arial" w:hAnsi="Arial" w:cs="Arial"/>
        </w:rPr>
        <w:t>, religion, thought</w:t>
      </w:r>
      <w:r>
        <w:rPr>
          <w:rFonts w:ascii="Arial" w:eastAsia="Arial" w:hAnsi="Arial" w:cs="Arial"/>
        </w:rPr>
        <w:t>,</w:t>
      </w:r>
      <w:r>
        <w:rPr>
          <w:rFonts w:ascii="Arial" w:eastAsia="Arial" w:hAnsi="Arial" w:cs="Arial"/>
        </w:rPr>
        <w:t xml:space="preserve"> belief</w:t>
      </w:r>
      <w:r>
        <w:rPr>
          <w:rFonts w:ascii="Arial" w:eastAsia="Arial" w:hAnsi="Arial" w:cs="Arial"/>
        </w:rPr>
        <w:t xml:space="preserve"> and opinion.</w:t>
      </w:r>
      <w:r>
        <w:rPr>
          <w:rFonts w:ascii="Arial" w:eastAsia="Arial" w:hAnsi="Arial" w:cs="Arial"/>
          <w:color w:val="000000"/>
          <w:sz w:val="21"/>
          <w:szCs w:val="21"/>
          <w:u w:val="none"/>
          <w:vertAlign w:val="superscript"/>
        </w:rPr>
        <w:footnoteReference w:id="1"/>
      </w:r>
    </w:p>
    <w:p>
      <w:pPr>
        <w:numPr>
          <w:ilvl w:val="0"/>
          <w:numId w:val="3"/>
        </w:numPr>
        <w:pBdr>
          <w:left w:val="none" w:sz="0" w:space="20" w:color="auto"/>
        </w:pBdr>
        <w:spacing w:line="480" w:lineRule="auto"/>
        <w:ind w:left="709" w:right="0" w:hanging="689"/>
        <w:jc w:val="both"/>
        <w:rPr>
          <w:rFonts w:ascii="Arial" w:eastAsia="Arial" w:hAnsi="Arial" w:cs="Arial"/>
        </w:rPr>
      </w:pPr>
      <w:r>
        <w:rPr>
          <w:rFonts w:ascii="Arial" w:eastAsia="Arial" w:hAnsi="Arial" w:cs="Arial"/>
        </w:rPr>
        <w:t xml:space="preserve">The </w:t>
      </w:r>
      <w:r>
        <w:rPr>
          <w:rFonts w:ascii="Arial" w:eastAsia="Arial" w:hAnsi="Arial" w:cs="Arial"/>
        </w:rPr>
        <w:t>Constitutional</w:t>
      </w:r>
      <w:r>
        <w:rPr>
          <w:rFonts w:ascii="Arial" w:eastAsia="Arial" w:hAnsi="Arial" w:cs="Arial"/>
        </w:rPr>
        <w:t xml:space="preserve"> Court has on</w:t>
      </w:r>
      <w:r>
        <w:rPr>
          <w:rFonts w:ascii="Arial" w:eastAsia="Arial" w:hAnsi="Arial" w:cs="Arial"/>
        </w:rPr>
        <w:t xml:space="preserve"> at least</w:t>
      </w:r>
      <w:r>
        <w:rPr>
          <w:rFonts w:ascii="Arial" w:eastAsia="Arial" w:hAnsi="Arial" w:cs="Arial"/>
        </w:rPr>
        <w:t xml:space="preserve"> three occasions considered the contents of the right to freedom of religion.</w:t>
      </w:r>
      <w:r>
        <w:rPr>
          <w:rFonts w:ascii="Arial" w:eastAsia="Arial" w:hAnsi="Arial" w:cs="Arial"/>
          <w:color w:val="000000"/>
          <w:sz w:val="24"/>
          <w:szCs w:val="24"/>
          <w:u w:val="none"/>
          <w:vertAlign w:val="superscript"/>
        </w:rPr>
        <w:footnoteReference w:id="2"/>
      </w:r>
      <w:r>
        <w:rPr>
          <w:rFonts w:ascii="Arial" w:eastAsia="Arial" w:hAnsi="Arial" w:cs="Arial"/>
        </w:rPr>
        <w:t xml:space="preserve"> On each occasion it has accepted that the right to freedom of religion includes at least:</w:t>
      </w:r>
    </w:p>
    <w:p>
      <w:pPr>
        <w:numPr>
          <w:ilvl w:val="1"/>
          <w:numId w:val="3"/>
        </w:numPr>
        <w:spacing w:after="360" w:line="480" w:lineRule="auto"/>
        <w:ind w:left="1440" w:right="0" w:hanging="720"/>
        <w:jc w:val="both"/>
        <w:rPr>
          <w:rFonts w:ascii="Arial" w:eastAsia="Arial" w:hAnsi="Arial" w:cs="Arial"/>
        </w:rPr>
      </w:pPr>
      <w:r>
        <w:rPr>
          <w:rFonts w:ascii="Arial" w:eastAsia="Arial" w:hAnsi="Arial" w:cs="Arial"/>
        </w:rPr>
        <w:t>the right to entertain such religious beliefs as a person chooses;</w:t>
      </w:r>
    </w:p>
    <w:p>
      <w:pPr>
        <w:numPr>
          <w:ilvl w:val="1"/>
          <w:numId w:val="3"/>
        </w:numPr>
        <w:spacing w:before="480" w:line="480" w:lineRule="auto"/>
        <w:ind w:left="1440" w:right="0" w:hanging="720"/>
        <w:jc w:val="both"/>
        <w:rPr>
          <w:rFonts w:ascii="Arial" w:eastAsia="Arial" w:hAnsi="Arial" w:cs="Arial"/>
        </w:rPr>
      </w:pPr>
      <w:r>
        <w:rPr>
          <w:rFonts w:ascii="Arial" w:eastAsia="Arial" w:hAnsi="Arial" w:cs="Arial"/>
        </w:rPr>
        <w:t>the right to declare religious beliefs openly and without fear of hindrance or reprisal; and</w:t>
      </w:r>
    </w:p>
    <w:p>
      <w:pPr>
        <w:numPr>
          <w:ilvl w:val="1"/>
          <w:numId w:val="3"/>
        </w:numPr>
        <w:spacing w:before="480" w:after="360" w:line="480" w:lineRule="auto"/>
        <w:ind w:left="1440" w:right="0" w:hanging="720"/>
        <w:jc w:val="both"/>
        <w:rPr>
          <w:rFonts w:ascii="Arial" w:eastAsia="Arial" w:hAnsi="Arial" w:cs="Arial"/>
        </w:rPr>
      </w:pPr>
      <w:r>
        <w:rPr>
          <w:rFonts w:ascii="Arial" w:eastAsia="Arial" w:hAnsi="Arial" w:cs="Arial"/>
        </w:rPr>
        <w:t>the right to manifest religious belief by worship and practice, teaching and dissemination.</w:t>
      </w:r>
    </w:p>
    <w:p>
      <w:pPr>
        <w:numPr>
          <w:ilvl w:val="0"/>
          <w:numId w:val="3"/>
        </w:numPr>
        <w:pBdr>
          <w:left w:val="none" w:sz="0" w:space="20" w:color="auto"/>
        </w:pBdr>
        <w:spacing w:before="480" w:after="0" w:line="480" w:lineRule="auto"/>
        <w:ind w:left="720" w:right="0" w:hanging="700"/>
        <w:jc w:val="both"/>
        <w:rPr>
          <w:rFonts w:ascii="Arial" w:eastAsia="Arial" w:hAnsi="Arial" w:cs="Arial"/>
        </w:rPr>
      </w:pPr>
      <w:r>
        <w:rPr>
          <w:rFonts w:ascii="Arial" w:eastAsia="Arial" w:hAnsi="Arial" w:cs="Arial"/>
        </w:rPr>
        <w:t xml:space="preserve">The right to freedom of religion and its importance within the context of the Constitution was stated by Sachs J for a unanimous court in </w:t>
      </w:r>
      <w:r>
        <w:rPr>
          <w:rFonts w:ascii="Arial" w:eastAsia="Arial" w:hAnsi="Arial" w:cs="Arial"/>
          <w:i/>
          <w:iCs/>
        </w:rPr>
        <w:t>Christian Education</w:t>
      </w:r>
      <w:r>
        <w:rPr>
          <w:rFonts w:ascii="Arial" w:eastAsia="Arial" w:hAnsi="Arial" w:cs="Arial"/>
        </w:rPr>
        <w:t xml:space="preserve"> as follows:</w:t>
      </w:r>
      <w:r>
        <w:rPr>
          <w:rFonts w:ascii="Arial" w:eastAsia="Arial" w:hAnsi="Arial" w:cs="Arial"/>
          <w:color w:val="000000"/>
          <w:sz w:val="24"/>
          <w:szCs w:val="24"/>
          <w:u w:val="none"/>
          <w:vertAlign w:val="superscript"/>
        </w:rPr>
        <w:footnoteReference w:id="3"/>
      </w:r>
    </w:p>
    <w:p>
      <w:pPr>
        <w:spacing w:before="120" w:after="0"/>
        <w:ind w:left="1701"/>
        <w:jc w:val="both"/>
      </w:pPr>
      <w:r>
        <w:rPr>
          <w:rFonts w:ascii="Arial" w:eastAsia="Arial" w:hAnsi="Arial" w:cs="Arial"/>
        </w:rPr>
        <w:t>“</w:t>
      </w:r>
      <w:r>
        <w:rPr>
          <w:rFonts w:ascii="Arial" w:eastAsia="Arial" w:hAnsi="Arial" w:cs="Arial"/>
          <w:i/>
          <w:iCs/>
        </w:rPr>
        <w:t>The right to believe or not to believe, and to act or not to act according to his or her beliefs or non-beliefs, is one of the key ingredients of any person’s dignity. Yet freedom of religion goes beyond protecting the inviolability of the individual conscience. For many believers, their relationship with God or Creation is central to all their activities. It concerns their capacity to relate in an intensely meaningful fashion to their sense of themselves, their community and their universe. For millions in all walks of life, religion provides support and nurture and a framework for individual and social stability and growth. Religious belief has the capacity to awake concept of self-worth and human dignity which form the cornerstone of human rights. It affects the believer’s view of society and founds the distinction between right and wrong. It expresses itself in the affirmation and continuity of powerful traditions that frequently have an ancient character transcending historical epochs and national boundaries.</w:t>
      </w:r>
      <w:r>
        <w:rPr>
          <w:rFonts w:ascii="Arial" w:eastAsia="Arial" w:hAnsi="Arial" w:cs="Arial"/>
        </w:rPr>
        <w:t xml:space="preserve">” </w:t>
      </w:r>
    </w:p>
    <w:p>
      <w:pPr>
        <w:numPr>
          <w:ilvl w:val="0"/>
          <w:numId w:val="4"/>
        </w:numPr>
        <w:pBdr>
          <w:left w:val="none" w:sz="0" w:space="20" w:color="auto"/>
        </w:pBdr>
        <w:spacing w:before="480" w:line="480" w:lineRule="auto"/>
        <w:ind w:left="720" w:right="0" w:hanging="700"/>
        <w:jc w:val="both"/>
        <w:rPr>
          <w:rFonts w:ascii="Arial" w:eastAsia="Arial" w:hAnsi="Arial" w:cs="Arial"/>
        </w:rPr>
      </w:pPr>
      <w:r>
        <w:rPr>
          <w:rFonts w:ascii="Arial" w:eastAsia="Arial" w:hAnsi="Arial" w:cs="Arial"/>
        </w:rPr>
        <w:t xml:space="preserve">That freedom of religion is not limited to protecting the inner sanctum of the human </w:t>
      </w:r>
      <w:r>
        <w:rPr>
          <w:rFonts w:ascii="Arial" w:eastAsia="Arial" w:hAnsi="Arial" w:cs="Arial"/>
        </w:rPr>
        <w:t>conscience, but</w:t>
      </w:r>
      <w:r>
        <w:rPr>
          <w:rFonts w:ascii="Arial" w:eastAsia="Arial" w:hAnsi="Arial" w:cs="Arial"/>
        </w:rPr>
        <w:t xml:space="preserve"> includes also the right of individuals to live and interact with others in society in accordance with their beliefs, is clear from the dictum. </w:t>
      </w:r>
    </w:p>
    <w:p>
      <w:pPr>
        <w:numPr>
          <w:ilvl w:val="0"/>
          <w:numId w:val="4"/>
        </w:numPr>
        <w:pBdr>
          <w:left w:val="none" w:sz="0" w:space="20" w:color="auto"/>
        </w:pBdr>
        <w:spacing w:before="480" w:line="480" w:lineRule="auto"/>
        <w:ind w:left="720" w:right="0" w:hanging="700"/>
        <w:jc w:val="both"/>
        <w:rPr>
          <w:rFonts w:ascii="Arial" w:eastAsia="Arial" w:hAnsi="Arial" w:cs="Arial"/>
        </w:rPr>
      </w:pPr>
      <w:r>
        <w:rPr>
          <w:rFonts w:ascii="Arial" w:eastAsia="Arial" w:hAnsi="Arial" w:cs="Arial"/>
        </w:rPr>
        <w:t>Accord</w:t>
      </w:r>
      <w:r>
        <w:rPr>
          <w:rFonts w:ascii="Arial" w:eastAsia="Arial" w:hAnsi="Arial" w:cs="Arial"/>
        </w:rPr>
        <w:t>ing to the Constitutional Court:</w:t>
      </w:r>
    </w:p>
    <w:p>
      <w:pPr>
        <w:numPr>
          <w:ilvl w:val="1"/>
          <w:numId w:val="4"/>
        </w:numPr>
        <w:spacing w:before="480" w:line="480" w:lineRule="auto"/>
        <w:ind w:left="1440" w:right="0" w:hanging="720"/>
        <w:jc w:val="both"/>
        <w:rPr>
          <w:rFonts w:ascii="Arial" w:eastAsia="Arial" w:hAnsi="Arial" w:cs="Arial"/>
        </w:rPr>
      </w:pPr>
      <w:r>
        <w:rPr>
          <w:rFonts w:ascii="Arial" w:eastAsia="Arial" w:hAnsi="Arial" w:cs="Arial"/>
        </w:rPr>
        <w:t>“</w:t>
      </w:r>
      <w:r>
        <w:rPr>
          <w:rFonts w:ascii="Arial" w:eastAsia="Arial" w:hAnsi="Arial" w:cs="Arial"/>
          <w:i/>
          <w:iCs/>
        </w:rPr>
        <w:t>[t]</w:t>
      </w:r>
      <w:r>
        <w:rPr>
          <w:rFonts w:ascii="Arial" w:eastAsia="Arial" w:hAnsi="Arial" w:cs="Arial"/>
          <w:i/>
          <w:iCs/>
        </w:rPr>
        <w:t>he right to freedom of religion is probably one of the most important of all human rights</w:t>
      </w:r>
      <w:r>
        <w:rPr>
          <w:rFonts w:ascii="Arial" w:eastAsia="Arial" w:hAnsi="Arial" w:cs="Arial"/>
        </w:rPr>
        <w:t>”</w:t>
      </w:r>
      <w:r>
        <w:rPr>
          <w:rFonts w:ascii="Arial" w:eastAsia="Arial" w:hAnsi="Arial" w:cs="Arial"/>
        </w:rPr>
        <w:t>;</w:t>
      </w:r>
      <w:r>
        <w:rPr>
          <w:rFonts w:ascii="Arial" w:eastAsia="Arial" w:hAnsi="Arial" w:cs="Arial"/>
          <w:color w:val="000000"/>
          <w:sz w:val="21"/>
          <w:szCs w:val="21"/>
          <w:u w:val="none"/>
          <w:vertAlign w:val="superscript"/>
        </w:rPr>
        <w:footnoteReference w:id="4"/>
      </w:r>
    </w:p>
    <w:p>
      <w:pPr>
        <w:numPr>
          <w:ilvl w:val="1"/>
          <w:numId w:val="4"/>
        </w:numPr>
        <w:spacing w:before="480" w:line="480" w:lineRule="auto"/>
        <w:ind w:left="1440" w:right="0" w:hanging="720"/>
        <w:jc w:val="both"/>
        <w:rPr>
          <w:rFonts w:ascii="Arial" w:eastAsia="Arial" w:hAnsi="Arial" w:cs="Arial"/>
        </w:rPr>
      </w:pPr>
      <w:r>
        <w:rPr>
          <w:rFonts w:ascii="Arial" w:eastAsia="Arial" w:hAnsi="Arial" w:cs="Arial"/>
        </w:rPr>
        <w:t>r</w:t>
      </w:r>
      <w:r>
        <w:rPr>
          <w:rFonts w:ascii="Arial" w:eastAsia="Arial" w:hAnsi="Arial" w:cs="Arial"/>
        </w:rPr>
        <w:t xml:space="preserve">eligious </w:t>
      </w:r>
      <w:r>
        <w:rPr>
          <w:rFonts w:ascii="Arial" w:eastAsia="Arial" w:hAnsi="Arial" w:cs="Arial"/>
        </w:rPr>
        <w:t xml:space="preserve">beliefs and </w:t>
      </w:r>
      <w:r>
        <w:rPr>
          <w:rFonts w:ascii="Arial" w:eastAsia="Arial" w:hAnsi="Arial" w:cs="Arial"/>
        </w:rPr>
        <w:t xml:space="preserve">practices </w:t>
      </w:r>
      <w:r>
        <w:rPr>
          <w:rFonts w:ascii="Arial" w:eastAsia="Arial" w:hAnsi="Arial" w:cs="Arial"/>
        </w:rPr>
        <w:t>are held</w:t>
      </w:r>
      <w:r>
        <w:rPr>
          <w:rFonts w:ascii="Arial" w:eastAsia="Arial" w:hAnsi="Arial" w:cs="Arial"/>
        </w:rPr>
        <w:t xml:space="preserve"> </w:t>
      </w:r>
      <w:r>
        <w:rPr>
          <w:rFonts w:ascii="Arial" w:eastAsia="Arial" w:hAnsi="Arial" w:cs="Arial"/>
        </w:rPr>
        <w:t>sacred</w:t>
      </w:r>
      <w:r>
        <w:rPr>
          <w:rFonts w:ascii="Arial" w:eastAsia="Arial" w:hAnsi="Arial" w:cs="Arial"/>
        </w:rPr>
        <w:t xml:space="preserve"> by those who hold them;</w:t>
      </w:r>
      <w:r>
        <w:rPr>
          <w:rFonts w:ascii="Arial" w:eastAsia="Arial" w:hAnsi="Arial" w:cs="Arial"/>
          <w:color w:val="000000"/>
          <w:sz w:val="21"/>
          <w:szCs w:val="21"/>
          <w:u w:val="none"/>
          <w:vertAlign w:val="superscript"/>
        </w:rPr>
        <w:footnoteReference w:id="5"/>
      </w:r>
    </w:p>
    <w:p>
      <w:pPr>
        <w:numPr>
          <w:ilvl w:val="1"/>
          <w:numId w:val="4"/>
        </w:numPr>
        <w:spacing w:before="480" w:after="0" w:line="480" w:lineRule="auto"/>
        <w:ind w:left="1440" w:right="0" w:hanging="720"/>
        <w:jc w:val="both"/>
        <w:rPr>
          <w:rFonts w:ascii="Arial" w:eastAsia="Arial" w:hAnsi="Arial" w:cs="Arial"/>
        </w:rPr>
      </w:pPr>
      <w:r>
        <w:rPr>
          <w:rFonts w:ascii="Arial" w:eastAsia="Arial" w:hAnsi="Arial" w:cs="Arial"/>
        </w:rPr>
        <w:t>t</w:t>
      </w:r>
      <w:r>
        <w:rPr>
          <w:rFonts w:ascii="Arial" w:eastAsia="Arial" w:hAnsi="Arial" w:cs="Arial"/>
        </w:rPr>
        <w:t xml:space="preserve">he right to freedom of religion is </w:t>
      </w:r>
      <w:r>
        <w:rPr>
          <w:rFonts w:ascii="Arial" w:eastAsia="Arial" w:hAnsi="Arial" w:cs="Arial"/>
        </w:rPr>
        <w:t>a key part</w:t>
      </w:r>
      <w:r>
        <w:rPr>
          <w:rFonts w:ascii="Arial" w:eastAsia="Arial" w:hAnsi="Arial" w:cs="Arial"/>
        </w:rPr>
        <w:t xml:space="preserve"> of human dignity.</w:t>
      </w:r>
      <w:r>
        <w:rPr>
          <w:rFonts w:ascii="Arial" w:eastAsia="Arial" w:hAnsi="Arial" w:cs="Arial"/>
          <w:color w:val="000000"/>
          <w:sz w:val="21"/>
          <w:szCs w:val="21"/>
          <w:u w:val="none"/>
          <w:vertAlign w:val="superscript"/>
        </w:rPr>
        <w:footnoteReference w:id="6"/>
      </w:r>
    </w:p>
    <w:p>
      <w:pPr>
        <w:spacing w:before="0" w:after="360" w:line="480" w:lineRule="auto"/>
        <w:ind w:left="709"/>
        <w:jc w:val="both"/>
      </w:pPr>
    </w:p>
    <w:p>
      <w:pPr>
        <w:numPr>
          <w:ilvl w:val="0"/>
          <w:numId w:val="5"/>
        </w:numPr>
        <w:pBdr>
          <w:left w:val="none" w:sz="0" w:space="20" w:color="auto"/>
        </w:pBdr>
        <w:spacing w:before="0" w:after="360" w:line="480" w:lineRule="auto"/>
        <w:ind w:left="709" w:right="0" w:hanging="689"/>
        <w:jc w:val="both"/>
        <w:rPr>
          <w:rFonts w:ascii="Arial" w:eastAsia="Arial" w:hAnsi="Arial" w:cs="Arial"/>
        </w:rPr>
      </w:pPr>
      <w:r>
        <w:rPr>
          <w:rFonts w:ascii="Arial" w:eastAsia="Arial" w:hAnsi="Arial" w:cs="Arial"/>
        </w:rPr>
        <w:t xml:space="preserve">The respondents are therefore wrong </w:t>
      </w:r>
      <w:r>
        <w:rPr>
          <w:rFonts w:ascii="Arial" w:eastAsia="Arial" w:hAnsi="Arial" w:cs="Arial"/>
        </w:rPr>
        <w:t xml:space="preserve">when they aver </w:t>
      </w:r>
      <w:r>
        <w:rPr>
          <w:rFonts w:ascii="Arial" w:eastAsia="Arial" w:hAnsi="Arial" w:cs="Arial"/>
        </w:rPr>
        <w:t>that “</w:t>
      </w:r>
      <w:r>
        <w:rPr>
          <w:rFonts w:ascii="Arial" w:eastAsia="Arial" w:hAnsi="Arial" w:cs="Arial"/>
          <w:i/>
          <w:iCs/>
        </w:rPr>
        <w:t>a belief is just a belief</w:t>
      </w:r>
      <w:r>
        <w:rPr>
          <w:rFonts w:ascii="Arial" w:eastAsia="Arial" w:hAnsi="Arial" w:cs="Arial"/>
        </w:rPr>
        <w:t>”.</w:t>
      </w:r>
      <w:r>
        <w:rPr>
          <w:rFonts w:ascii="Arial" w:eastAsia="Arial" w:hAnsi="Arial" w:cs="Arial"/>
          <w:color w:val="000000"/>
          <w:sz w:val="21"/>
          <w:szCs w:val="21"/>
          <w:u w:val="none"/>
          <w:vertAlign w:val="superscript"/>
        </w:rPr>
        <w:footnoteReference w:id="7"/>
      </w:r>
    </w:p>
    <w:p>
      <w:pPr>
        <w:numPr>
          <w:ilvl w:val="0"/>
          <w:numId w:val="5"/>
        </w:numPr>
        <w:pBdr>
          <w:left w:val="none" w:sz="0" w:space="14" w:color="auto"/>
        </w:pBdr>
        <w:spacing w:before="480" w:line="480" w:lineRule="auto"/>
        <w:ind w:left="720" w:right="0" w:hanging="686"/>
        <w:jc w:val="both"/>
        <w:rPr>
          <w:rFonts w:ascii="Arial" w:eastAsia="Arial" w:hAnsi="Arial" w:cs="Arial"/>
        </w:rPr>
      </w:pPr>
      <w:r>
        <w:rPr>
          <w:rFonts w:ascii="Arial" w:eastAsia="Arial" w:hAnsi="Arial" w:cs="Arial"/>
        </w:rPr>
        <w:t>Implicit also</w:t>
      </w:r>
      <w:r>
        <w:rPr>
          <w:rFonts w:ascii="Arial" w:eastAsia="Arial" w:hAnsi="Arial" w:cs="Arial"/>
        </w:rPr>
        <w:t xml:space="preserve"> in the text of the right to freedom of religion contained in section 15(1) is “</w:t>
      </w:r>
      <w:r>
        <w:rPr>
          <w:rFonts w:ascii="Arial" w:eastAsia="Arial" w:hAnsi="Arial" w:cs="Arial"/>
          <w:i/>
          <w:iCs/>
        </w:rPr>
        <w:t>the absence of coercion or constraint</w:t>
      </w:r>
      <w:r>
        <w:rPr>
          <w:rFonts w:ascii="Arial" w:eastAsia="Arial" w:hAnsi="Arial" w:cs="Arial"/>
        </w:rPr>
        <w:t>”.</w:t>
      </w:r>
      <w:r>
        <w:rPr>
          <w:rFonts w:ascii="Arial" w:eastAsia="Arial" w:hAnsi="Arial" w:cs="Arial"/>
          <w:color w:val="000000"/>
          <w:sz w:val="24"/>
          <w:szCs w:val="24"/>
          <w:u w:val="none"/>
          <w:vertAlign w:val="superscript"/>
        </w:rPr>
        <w:footnoteReference w:id="8"/>
      </w:r>
    </w:p>
    <w:p>
      <w:pPr>
        <w:numPr>
          <w:ilvl w:val="0"/>
          <w:numId w:val="5"/>
        </w:numPr>
        <w:pBdr>
          <w:left w:val="none" w:sz="0" w:space="14" w:color="auto"/>
        </w:pBdr>
        <w:spacing w:before="480" w:line="480" w:lineRule="auto"/>
        <w:ind w:left="720" w:right="0" w:hanging="686"/>
        <w:jc w:val="both"/>
        <w:rPr>
          <w:rFonts w:ascii="Arial" w:eastAsia="Arial" w:hAnsi="Arial" w:cs="Arial"/>
        </w:rPr>
      </w:pPr>
      <w:r>
        <w:rPr>
          <w:rFonts w:ascii="Arial" w:eastAsia="Arial" w:hAnsi="Arial" w:cs="Arial"/>
        </w:rPr>
        <w:t xml:space="preserve">In </w:t>
      </w:r>
      <w:r>
        <w:rPr>
          <w:rFonts w:ascii="Arial" w:eastAsia="Arial" w:hAnsi="Arial" w:cs="Arial"/>
          <w:i/>
          <w:iCs/>
        </w:rPr>
        <w:t>Solberg</w:t>
      </w:r>
      <w:r>
        <w:rPr>
          <w:rFonts w:ascii="Arial" w:eastAsia="Arial" w:hAnsi="Arial" w:cs="Arial"/>
        </w:rPr>
        <w:t xml:space="preserve">, the first occasion in which the Constitutional Court was called upon </w:t>
      </w:r>
      <w:r>
        <w:rPr>
          <w:rFonts w:ascii="Arial" w:eastAsia="Arial" w:hAnsi="Arial" w:cs="Arial"/>
        </w:rPr>
        <w:t>to</w:t>
      </w:r>
      <w:r>
        <w:rPr>
          <w:rFonts w:ascii="Arial" w:eastAsia="Arial" w:hAnsi="Arial" w:cs="Arial"/>
        </w:rPr>
        <w:t xml:space="preserve"> interpret the right to freedom of religion, the court had to determine whether a provision in the Liquor Act 27 of 1989 which prohibited the sale of wine on Sundays was inconsistent with the right of </w:t>
      </w:r>
      <w:r>
        <w:rPr>
          <w:rFonts w:ascii="Arial" w:eastAsia="Arial" w:hAnsi="Arial" w:cs="Arial"/>
        </w:rPr>
        <w:t>Ms</w:t>
      </w:r>
      <w:r>
        <w:rPr>
          <w:rFonts w:ascii="Arial" w:eastAsia="Arial" w:hAnsi="Arial" w:cs="Arial"/>
        </w:rPr>
        <w:t xml:space="preserve"> Solberg to sell wine at a Seven Eleven store.</w:t>
      </w:r>
    </w:p>
    <w:p>
      <w:pPr>
        <w:numPr>
          <w:ilvl w:val="0"/>
          <w:numId w:val="5"/>
        </w:numPr>
        <w:pBdr>
          <w:left w:val="none" w:sz="0" w:space="14" w:color="auto"/>
        </w:pBdr>
        <w:spacing w:before="480" w:line="480" w:lineRule="auto"/>
        <w:ind w:left="720" w:right="0" w:hanging="686"/>
        <w:jc w:val="both"/>
        <w:rPr>
          <w:rFonts w:ascii="Arial" w:eastAsia="Arial" w:hAnsi="Arial" w:cs="Arial"/>
        </w:rPr>
      </w:pPr>
      <w:r>
        <w:rPr>
          <w:rFonts w:ascii="Arial" w:eastAsia="Arial" w:hAnsi="Arial" w:cs="Arial"/>
        </w:rPr>
        <w:t>In regard to</w:t>
      </w:r>
      <w:r>
        <w:rPr>
          <w:rFonts w:ascii="Arial" w:eastAsia="Arial" w:hAnsi="Arial" w:cs="Arial"/>
        </w:rPr>
        <w:t xml:space="preserve"> “</w:t>
      </w:r>
      <w:r>
        <w:rPr>
          <w:rFonts w:ascii="Arial" w:eastAsia="Arial" w:hAnsi="Arial" w:cs="Arial"/>
          <w:i/>
          <w:iCs/>
        </w:rPr>
        <w:t>coercion or constraint</w:t>
      </w:r>
      <w:r>
        <w:rPr>
          <w:rFonts w:ascii="Arial" w:eastAsia="Arial" w:hAnsi="Arial" w:cs="Arial"/>
        </w:rPr>
        <w:t>”, the Constitutional Court has</w:t>
      </w:r>
      <w:r>
        <w:rPr>
          <w:rFonts w:ascii="Arial" w:eastAsia="Arial" w:hAnsi="Arial" w:cs="Arial"/>
        </w:rPr>
        <w:t xml:space="preserve"> held that the right to freedom of religion is impaired by measures that force people to refrain from acting in accordance with their religious</w:t>
      </w:r>
      <w:r>
        <w:rPr>
          <w:rFonts w:ascii="Arial" w:eastAsia="Arial" w:hAnsi="Arial" w:cs="Arial"/>
        </w:rPr>
        <w:t xml:space="preserve"> or non-religious</w:t>
      </w:r>
      <w:r>
        <w:rPr>
          <w:rFonts w:ascii="Arial" w:eastAsia="Arial" w:hAnsi="Arial" w:cs="Arial"/>
        </w:rPr>
        <w:t xml:space="preserve"> beliefs</w:t>
      </w:r>
      <w:r>
        <w:rPr>
          <w:rFonts w:ascii="Arial" w:eastAsia="Arial" w:hAnsi="Arial" w:cs="Arial"/>
        </w:rPr>
        <w:t>.</w:t>
      </w:r>
      <w:r>
        <w:rPr>
          <w:rFonts w:ascii="Arial" w:eastAsia="Arial" w:hAnsi="Arial" w:cs="Arial"/>
          <w:color w:val="000000"/>
          <w:sz w:val="24"/>
          <w:szCs w:val="24"/>
          <w:u w:val="none"/>
          <w:vertAlign w:val="superscript"/>
        </w:rPr>
        <w:footnoteReference w:id="9"/>
      </w:r>
    </w:p>
    <w:p>
      <w:pPr>
        <w:numPr>
          <w:ilvl w:val="0"/>
          <w:numId w:val="5"/>
        </w:numPr>
        <w:pBdr>
          <w:left w:val="none" w:sz="0" w:space="14" w:color="auto"/>
        </w:pBdr>
        <w:spacing w:before="480" w:line="480" w:lineRule="auto"/>
        <w:ind w:left="720" w:right="0" w:hanging="686"/>
        <w:jc w:val="both"/>
        <w:rPr>
          <w:rFonts w:ascii="Arial" w:eastAsia="Arial" w:hAnsi="Arial" w:cs="Arial"/>
        </w:rPr>
      </w:pPr>
      <w:r>
        <w:rPr>
          <w:rFonts w:ascii="Arial" w:eastAsia="Arial" w:hAnsi="Arial" w:cs="Arial"/>
        </w:rPr>
        <w:t>Therefore, a</w:t>
      </w:r>
      <w:r>
        <w:rPr>
          <w:rFonts w:ascii="Arial" w:eastAsia="Arial" w:hAnsi="Arial" w:cs="Arial"/>
        </w:rPr>
        <w:t xml:space="preserve"> law that </w:t>
      </w:r>
      <w:r>
        <w:rPr>
          <w:rFonts w:ascii="Arial" w:eastAsia="Arial" w:hAnsi="Arial" w:cs="Arial"/>
        </w:rPr>
        <w:t>prevents individuals from holding religious or non-religious beliefs or prevents them from living in accordance with such beliefs infringes</w:t>
      </w:r>
      <w:r>
        <w:rPr>
          <w:rFonts w:ascii="Arial" w:eastAsia="Arial" w:hAnsi="Arial" w:cs="Arial"/>
        </w:rPr>
        <w:t xml:space="preserve"> </w:t>
      </w:r>
      <w:r>
        <w:rPr>
          <w:rFonts w:ascii="Arial" w:eastAsia="Arial" w:hAnsi="Arial" w:cs="Arial"/>
        </w:rPr>
        <w:t>the right to freedom of religion.</w:t>
      </w:r>
      <w:r>
        <w:rPr>
          <w:rFonts w:ascii="Arial" w:eastAsia="Arial" w:hAnsi="Arial" w:cs="Arial"/>
          <w:color w:val="000000"/>
          <w:sz w:val="21"/>
          <w:szCs w:val="21"/>
          <w:u w:val="none"/>
          <w:vertAlign w:val="superscript"/>
        </w:rPr>
        <w:footnoteReference w:id="10"/>
      </w:r>
    </w:p>
    <w:p>
      <w:pPr>
        <w:numPr>
          <w:ilvl w:val="0"/>
          <w:numId w:val="5"/>
        </w:numPr>
        <w:pBdr>
          <w:left w:val="none" w:sz="0" w:space="14" w:color="auto"/>
        </w:pBdr>
        <w:spacing w:before="480" w:line="480" w:lineRule="auto"/>
        <w:ind w:left="720" w:right="0" w:hanging="686"/>
        <w:jc w:val="both"/>
        <w:rPr>
          <w:rFonts w:ascii="Arial" w:eastAsia="Arial" w:hAnsi="Arial" w:cs="Arial"/>
        </w:rPr>
      </w:pPr>
      <w:r>
        <w:rPr>
          <w:rFonts w:ascii="Arial" w:eastAsia="Arial" w:hAnsi="Arial" w:cs="Arial"/>
        </w:rPr>
        <w:t>T</w:t>
      </w:r>
      <w:r>
        <w:rPr>
          <w:rFonts w:ascii="Arial" w:eastAsia="Arial" w:hAnsi="Arial" w:cs="Arial"/>
        </w:rPr>
        <w:t xml:space="preserve">he Church’s members </w:t>
      </w:r>
      <w:r>
        <w:rPr>
          <w:rFonts w:ascii="Arial" w:eastAsia="Arial" w:hAnsi="Arial" w:cs="Arial"/>
        </w:rPr>
        <w:t xml:space="preserve">sincerely </w:t>
      </w:r>
      <w:r>
        <w:rPr>
          <w:rFonts w:ascii="Arial" w:eastAsia="Arial" w:hAnsi="Arial" w:cs="Arial"/>
        </w:rPr>
        <w:t xml:space="preserve">believe </w:t>
      </w:r>
      <w:r>
        <w:rPr>
          <w:rFonts w:ascii="Arial" w:eastAsia="Arial" w:hAnsi="Arial" w:cs="Arial"/>
        </w:rPr>
        <w:t xml:space="preserve">that </w:t>
      </w:r>
      <w:r>
        <w:rPr>
          <w:rFonts w:ascii="Arial" w:eastAsia="Arial" w:hAnsi="Arial" w:cs="Arial"/>
        </w:rPr>
        <w:t>human life begins at conception. The</w:t>
      </w:r>
      <w:r>
        <w:rPr>
          <w:rFonts w:ascii="Arial" w:eastAsia="Arial" w:hAnsi="Arial" w:cs="Arial"/>
        </w:rPr>
        <w:t>y</w:t>
      </w:r>
      <w:r>
        <w:rPr>
          <w:rFonts w:ascii="Arial" w:eastAsia="Arial" w:hAnsi="Arial" w:cs="Arial"/>
        </w:rPr>
        <w:t xml:space="preserve"> believe that conception engenders a unique individual with full human dignity and an immortal soul.</w:t>
      </w:r>
      <w:r>
        <w:rPr>
          <w:rFonts w:ascii="Arial" w:eastAsia="Arial" w:hAnsi="Arial" w:cs="Arial"/>
        </w:rPr>
        <w:t xml:space="preserve"> </w:t>
      </w:r>
      <w:r>
        <w:rPr>
          <w:rFonts w:ascii="Arial" w:eastAsia="Arial" w:hAnsi="Arial" w:cs="Arial"/>
        </w:rPr>
        <w:t>T</w:t>
      </w:r>
      <w:r>
        <w:rPr>
          <w:rFonts w:ascii="Arial" w:eastAsia="Arial" w:hAnsi="Arial" w:cs="Arial"/>
        </w:rPr>
        <w:t>hey</w:t>
      </w:r>
      <w:r>
        <w:rPr>
          <w:rFonts w:ascii="Arial" w:eastAsia="Arial" w:hAnsi="Arial" w:cs="Arial"/>
        </w:rPr>
        <w:t xml:space="preserve"> accordingly</w:t>
      </w:r>
      <w:r>
        <w:rPr>
          <w:rFonts w:ascii="Arial" w:eastAsia="Arial" w:hAnsi="Arial" w:cs="Arial"/>
        </w:rPr>
        <w:t xml:space="preserve"> believe that unborn children are fully human</w:t>
      </w:r>
      <w:r>
        <w:rPr>
          <w:rFonts w:ascii="Arial" w:eastAsia="Arial" w:hAnsi="Arial" w:cs="Arial"/>
        </w:rPr>
        <w:t>, endowed with dignity, and entitled to respect</w:t>
      </w:r>
      <w:r>
        <w:rPr>
          <w:rFonts w:ascii="Arial" w:eastAsia="Arial" w:hAnsi="Arial" w:cs="Arial"/>
        </w:rPr>
        <w:t>.</w:t>
      </w:r>
      <w:r>
        <w:rPr>
          <w:rFonts w:ascii="Arial" w:eastAsia="Arial" w:hAnsi="Arial" w:cs="Arial"/>
          <w:color w:val="000000"/>
          <w:sz w:val="21"/>
          <w:szCs w:val="21"/>
          <w:u w:val="none"/>
          <w:vertAlign w:val="superscript"/>
        </w:rPr>
        <w:footnoteReference w:id="11"/>
      </w:r>
    </w:p>
    <w:p>
      <w:pPr>
        <w:numPr>
          <w:ilvl w:val="0"/>
          <w:numId w:val="5"/>
        </w:numPr>
        <w:pBdr>
          <w:left w:val="none" w:sz="0" w:space="14" w:color="auto"/>
        </w:pBdr>
        <w:spacing w:before="480" w:line="480" w:lineRule="auto"/>
        <w:ind w:left="720" w:right="0" w:hanging="686"/>
        <w:jc w:val="both"/>
        <w:rPr>
          <w:rFonts w:ascii="Arial" w:eastAsia="Arial" w:hAnsi="Arial" w:cs="Arial"/>
        </w:rPr>
      </w:pPr>
      <w:r>
        <w:rPr>
          <w:rFonts w:ascii="Arial" w:eastAsia="Arial" w:hAnsi="Arial" w:cs="Arial"/>
        </w:rPr>
        <w:t>The respondents belittle this belief.</w:t>
      </w:r>
      <w:r>
        <w:rPr>
          <w:rFonts w:ascii="Arial" w:eastAsia="Arial" w:hAnsi="Arial" w:cs="Arial"/>
          <w:color w:val="000000"/>
          <w:sz w:val="21"/>
          <w:szCs w:val="21"/>
          <w:u w:val="none"/>
          <w:vertAlign w:val="superscript"/>
        </w:rPr>
        <w:footnoteReference w:id="12"/>
      </w:r>
      <w:r>
        <w:rPr>
          <w:rFonts w:ascii="Arial" w:eastAsia="Arial" w:hAnsi="Arial" w:cs="Arial"/>
        </w:rPr>
        <w:t xml:space="preserve"> But </w:t>
      </w:r>
      <w:r>
        <w:rPr>
          <w:rFonts w:ascii="Arial" w:eastAsia="Arial" w:hAnsi="Arial" w:cs="Arial"/>
        </w:rPr>
        <w:t>they do not deny that the belief is sincerely held by the Church’s members.</w:t>
      </w:r>
      <w:r>
        <w:rPr>
          <w:rFonts w:ascii="Arial" w:eastAsia="Arial" w:hAnsi="Arial" w:cs="Arial"/>
          <w:color w:val="000000"/>
          <w:sz w:val="21"/>
          <w:szCs w:val="21"/>
          <w:u w:val="none"/>
          <w:vertAlign w:val="superscript"/>
        </w:rPr>
        <w:footnoteReference w:id="13"/>
      </w:r>
    </w:p>
    <w:p>
      <w:pPr>
        <w:numPr>
          <w:ilvl w:val="0"/>
          <w:numId w:val="5"/>
        </w:numPr>
        <w:pBdr>
          <w:left w:val="none" w:sz="0" w:space="14" w:color="auto"/>
        </w:pBdr>
        <w:spacing w:before="480" w:line="480" w:lineRule="auto"/>
        <w:ind w:left="720" w:right="0" w:hanging="686"/>
        <w:jc w:val="both"/>
        <w:rPr>
          <w:rFonts w:ascii="Arial" w:eastAsia="Arial" w:hAnsi="Arial" w:cs="Arial"/>
        </w:rPr>
      </w:pPr>
      <w:r>
        <w:rPr>
          <w:rFonts w:ascii="Arial" w:eastAsia="Arial" w:hAnsi="Arial" w:cs="Arial"/>
        </w:rPr>
        <w:t>The Church’s members wish to manifest</w:t>
      </w:r>
      <w:r>
        <w:rPr>
          <w:rFonts w:ascii="Arial" w:eastAsia="Arial" w:hAnsi="Arial" w:cs="Arial"/>
        </w:rPr>
        <w:t xml:space="preserve"> and live in accordance with</w:t>
      </w:r>
      <w:r>
        <w:rPr>
          <w:rFonts w:ascii="Arial" w:eastAsia="Arial" w:hAnsi="Arial" w:cs="Arial"/>
        </w:rPr>
        <w:t xml:space="preserve"> this belief by engaging in the religious practice of </w:t>
      </w:r>
      <w:r>
        <w:rPr>
          <w:rFonts w:ascii="Arial" w:eastAsia="Arial" w:hAnsi="Arial" w:cs="Arial"/>
        </w:rPr>
        <w:t xml:space="preserve">burying their deceased </w:t>
      </w:r>
      <w:r>
        <w:rPr>
          <w:rFonts w:ascii="Arial" w:eastAsia="Arial" w:hAnsi="Arial" w:cs="Arial"/>
        </w:rPr>
        <w:t>unborn children.</w:t>
      </w:r>
      <w:r>
        <w:rPr>
          <w:rFonts w:ascii="Arial" w:eastAsia="Arial" w:hAnsi="Arial" w:cs="Arial"/>
          <w:color w:val="000000"/>
          <w:sz w:val="21"/>
          <w:szCs w:val="21"/>
          <w:u w:val="none"/>
          <w:vertAlign w:val="superscript"/>
        </w:rPr>
        <w:footnoteReference w:id="14"/>
      </w:r>
      <w:r>
        <w:rPr>
          <w:rFonts w:ascii="Arial" w:eastAsia="Arial" w:hAnsi="Arial" w:cs="Arial"/>
        </w:rPr>
        <w:t xml:space="preserve"> This practice includes prayer, blessings, and the invocation of sacred rites.</w:t>
      </w:r>
      <w:r>
        <w:rPr>
          <w:rFonts w:ascii="Arial" w:eastAsia="Arial" w:hAnsi="Arial" w:cs="Arial"/>
          <w:color w:val="000000"/>
          <w:sz w:val="21"/>
          <w:szCs w:val="21"/>
          <w:u w:val="none"/>
          <w:vertAlign w:val="superscript"/>
        </w:rPr>
        <w:footnoteReference w:id="15"/>
      </w:r>
      <w:r>
        <w:rPr>
          <w:rFonts w:ascii="Arial" w:eastAsia="Arial" w:hAnsi="Arial" w:cs="Arial"/>
        </w:rPr>
        <w:t xml:space="preserve"> By engaging in this practice, the Church’s members wish, among other things, to give their deceased unborn childr</w:t>
      </w:r>
      <w:r>
        <w:rPr>
          <w:rFonts w:ascii="Arial" w:eastAsia="Arial" w:hAnsi="Arial" w:cs="Arial"/>
        </w:rPr>
        <w:t>en the same dignity and respect</w:t>
      </w:r>
      <w:r>
        <w:rPr>
          <w:rFonts w:ascii="Arial" w:eastAsia="Arial" w:hAnsi="Arial" w:cs="Arial"/>
        </w:rPr>
        <w:t xml:space="preserve"> as they </w:t>
      </w:r>
      <w:r>
        <w:rPr>
          <w:rFonts w:ascii="Arial" w:eastAsia="Arial" w:hAnsi="Arial" w:cs="Arial"/>
        </w:rPr>
        <w:t>give to</w:t>
      </w:r>
      <w:r>
        <w:rPr>
          <w:rFonts w:ascii="Arial" w:eastAsia="Arial" w:hAnsi="Arial" w:cs="Arial"/>
        </w:rPr>
        <w:t xml:space="preserve"> human beings </w:t>
      </w:r>
      <w:r>
        <w:rPr>
          <w:rFonts w:ascii="Arial" w:eastAsia="Arial" w:hAnsi="Arial" w:cs="Arial"/>
        </w:rPr>
        <w:t xml:space="preserve">that </w:t>
      </w:r>
      <w:r>
        <w:rPr>
          <w:rFonts w:ascii="Arial" w:eastAsia="Arial" w:hAnsi="Arial" w:cs="Arial"/>
        </w:rPr>
        <w:t>die after being born.</w:t>
      </w:r>
      <w:r>
        <w:rPr>
          <w:rFonts w:ascii="Arial" w:eastAsia="Arial" w:hAnsi="Arial" w:cs="Arial"/>
          <w:color w:val="000000"/>
          <w:sz w:val="21"/>
          <w:szCs w:val="21"/>
          <w:u w:val="none"/>
          <w:vertAlign w:val="superscript"/>
        </w:rPr>
        <w:footnoteReference w:id="16"/>
      </w:r>
    </w:p>
    <w:p>
      <w:pPr>
        <w:numPr>
          <w:ilvl w:val="0"/>
          <w:numId w:val="5"/>
        </w:numPr>
        <w:pBdr>
          <w:left w:val="none" w:sz="0" w:space="14" w:color="auto"/>
        </w:pBdr>
        <w:spacing w:before="480" w:line="480" w:lineRule="auto"/>
        <w:ind w:left="720" w:right="0" w:hanging="686"/>
        <w:jc w:val="both"/>
        <w:rPr>
          <w:rFonts w:ascii="Arial" w:eastAsia="Arial" w:hAnsi="Arial" w:cs="Arial"/>
        </w:rPr>
      </w:pPr>
      <w:r>
        <w:rPr>
          <w:rFonts w:ascii="Arial" w:eastAsia="Arial" w:hAnsi="Arial" w:cs="Arial"/>
        </w:rPr>
        <w:t xml:space="preserve">The Church also asserts that there are many who similarly </w:t>
      </w:r>
      <w:r>
        <w:rPr>
          <w:rFonts w:ascii="Arial" w:eastAsia="Arial" w:hAnsi="Arial" w:cs="Arial"/>
        </w:rPr>
        <w:t xml:space="preserve">may wish to bury their deceased unborn children in accordance with their own </w:t>
      </w:r>
      <w:r>
        <w:rPr>
          <w:rFonts w:ascii="Arial" w:eastAsia="Arial" w:hAnsi="Arial" w:cs="Arial"/>
        </w:rPr>
        <w:t>religious or non-religious belief</w:t>
      </w:r>
      <w:r>
        <w:rPr>
          <w:rFonts w:ascii="Arial" w:eastAsia="Arial" w:hAnsi="Arial" w:cs="Arial"/>
        </w:rPr>
        <w:t>s.</w:t>
      </w:r>
    </w:p>
    <w:p>
      <w:pPr>
        <w:numPr>
          <w:ilvl w:val="0"/>
          <w:numId w:val="5"/>
        </w:numPr>
        <w:pBdr>
          <w:left w:val="none" w:sz="0" w:space="14" w:color="auto"/>
        </w:pBdr>
        <w:spacing w:before="480" w:line="480" w:lineRule="auto"/>
        <w:ind w:left="720" w:right="0" w:hanging="686"/>
        <w:jc w:val="both"/>
        <w:rPr>
          <w:rFonts w:ascii="Arial" w:eastAsia="Arial" w:hAnsi="Arial" w:cs="Arial"/>
        </w:rPr>
      </w:pPr>
      <w:r>
        <w:rPr>
          <w:rFonts w:ascii="Arial" w:eastAsia="Arial" w:hAnsi="Arial" w:cs="Arial"/>
        </w:rPr>
        <w:t>T</w:t>
      </w:r>
      <w:r>
        <w:rPr>
          <w:rFonts w:ascii="Arial" w:eastAsia="Arial" w:hAnsi="Arial" w:cs="Arial"/>
        </w:rPr>
        <w:t xml:space="preserve">he impugned legislation prevents </w:t>
      </w:r>
      <w:r>
        <w:rPr>
          <w:rFonts w:ascii="Arial" w:eastAsia="Arial" w:hAnsi="Arial" w:cs="Arial"/>
        </w:rPr>
        <w:t xml:space="preserve">such persons and the Church’s members </w:t>
      </w:r>
      <w:r>
        <w:rPr>
          <w:rFonts w:ascii="Arial" w:eastAsia="Arial" w:hAnsi="Arial" w:cs="Arial"/>
        </w:rPr>
        <w:t xml:space="preserve">from doing so. </w:t>
      </w:r>
      <w:r>
        <w:rPr>
          <w:rFonts w:ascii="Arial" w:eastAsia="Arial" w:hAnsi="Arial" w:cs="Arial"/>
        </w:rPr>
        <w:t xml:space="preserve">It </w:t>
      </w:r>
      <w:r>
        <w:rPr>
          <w:rFonts w:ascii="Arial" w:eastAsia="Arial" w:hAnsi="Arial" w:cs="Arial"/>
        </w:rPr>
        <w:t>provides that:</w:t>
      </w:r>
    </w:p>
    <w:p>
      <w:pPr>
        <w:numPr>
          <w:ilvl w:val="1"/>
          <w:numId w:val="5"/>
        </w:numPr>
        <w:spacing w:before="480" w:line="480" w:lineRule="auto"/>
        <w:ind w:left="1440" w:right="0" w:hanging="720"/>
        <w:jc w:val="both"/>
        <w:rPr>
          <w:rFonts w:ascii="Arial" w:eastAsia="Arial" w:hAnsi="Arial" w:cs="Arial"/>
        </w:rPr>
      </w:pPr>
      <w:r>
        <w:rPr>
          <w:rFonts w:ascii="Arial" w:eastAsia="Arial" w:hAnsi="Arial" w:cs="Arial"/>
        </w:rPr>
        <w:t>o</w:t>
      </w:r>
      <w:r>
        <w:rPr>
          <w:rFonts w:ascii="Arial" w:eastAsia="Arial" w:hAnsi="Arial" w:cs="Arial"/>
        </w:rPr>
        <w:t xml:space="preserve">nly </w:t>
      </w:r>
      <w:r>
        <w:rPr>
          <w:rFonts w:ascii="Arial" w:eastAsia="Arial" w:hAnsi="Arial" w:cs="Arial"/>
        </w:rPr>
        <w:t>a “corpse” can be buried</w:t>
      </w:r>
      <w:r>
        <w:rPr>
          <w:rFonts w:ascii="Arial" w:eastAsia="Arial" w:hAnsi="Arial" w:cs="Arial"/>
        </w:rPr>
        <w:t>;</w:t>
      </w:r>
      <w:r>
        <w:rPr>
          <w:rFonts w:ascii="Arial" w:eastAsia="Arial" w:hAnsi="Arial" w:cs="Arial"/>
          <w:color w:val="000000"/>
          <w:sz w:val="21"/>
          <w:szCs w:val="21"/>
          <w:u w:val="none"/>
          <w:vertAlign w:val="superscript"/>
        </w:rPr>
        <w:footnoteReference w:id="17"/>
      </w:r>
    </w:p>
    <w:p>
      <w:pPr>
        <w:numPr>
          <w:ilvl w:val="1"/>
          <w:numId w:val="5"/>
        </w:numPr>
        <w:spacing w:before="480" w:line="480" w:lineRule="auto"/>
        <w:ind w:left="1440" w:right="0" w:hanging="720"/>
        <w:jc w:val="both"/>
        <w:rPr>
          <w:rFonts w:ascii="Arial" w:eastAsia="Arial" w:hAnsi="Arial" w:cs="Arial"/>
        </w:rPr>
      </w:pPr>
      <w:r>
        <w:rPr>
          <w:rFonts w:ascii="Arial" w:eastAsia="Arial" w:hAnsi="Arial" w:cs="Arial"/>
        </w:rPr>
        <w:t>a</w:t>
      </w:r>
      <w:r>
        <w:rPr>
          <w:rFonts w:ascii="Arial" w:eastAsia="Arial" w:hAnsi="Arial" w:cs="Arial"/>
        </w:rPr>
        <w:t xml:space="preserve"> “corpse” is a dead human body. A deceased unborn child, other than a child that is still-born, is not a corpse</w:t>
      </w:r>
      <w:r>
        <w:rPr>
          <w:rFonts w:ascii="Arial" w:eastAsia="Arial" w:hAnsi="Arial" w:cs="Arial"/>
        </w:rPr>
        <w:t>;</w:t>
      </w:r>
      <w:r>
        <w:rPr>
          <w:rFonts w:ascii="Arial" w:eastAsia="Arial" w:hAnsi="Arial" w:cs="Arial"/>
          <w:color w:val="000000"/>
          <w:sz w:val="21"/>
          <w:szCs w:val="21"/>
          <w:u w:val="none"/>
          <w:vertAlign w:val="superscript"/>
        </w:rPr>
        <w:footnoteReference w:id="18"/>
      </w:r>
      <w:r>
        <w:rPr>
          <w:rFonts w:ascii="Arial" w:eastAsia="Arial" w:hAnsi="Arial" w:cs="Arial"/>
        </w:rPr>
        <w:t xml:space="preserve"> and by necessary implication that</w:t>
      </w:r>
    </w:p>
    <w:p>
      <w:pPr>
        <w:numPr>
          <w:ilvl w:val="1"/>
          <w:numId w:val="5"/>
        </w:numPr>
        <w:spacing w:before="480" w:line="480" w:lineRule="auto"/>
        <w:ind w:left="1440" w:right="0" w:hanging="720"/>
        <w:jc w:val="both"/>
        <w:rPr>
          <w:rFonts w:ascii="Arial" w:eastAsia="Arial" w:hAnsi="Arial" w:cs="Arial"/>
        </w:rPr>
      </w:pPr>
      <w:r>
        <w:rPr>
          <w:rFonts w:ascii="Arial" w:eastAsia="Arial" w:hAnsi="Arial" w:cs="Arial"/>
        </w:rPr>
        <w:t>d</w:t>
      </w:r>
      <w:r>
        <w:rPr>
          <w:rFonts w:ascii="Arial" w:eastAsia="Arial" w:hAnsi="Arial" w:cs="Arial"/>
        </w:rPr>
        <w:t>eceased unborn children, other than children that are still</w:t>
      </w:r>
      <w:r>
        <w:rPr>
          <w:rFonts w:ascii="Arial" w:eastAsia="Arial" w:hAnsi="Arial" w:cs="Arial"/>
        </w:rPr>
        <w:t>-</w:t>
      </w:r>
      <w:r>
        <w:rPr>
          <w:rFonts w:ascii="Arial" w:eastAsia="Arial" w:hAnsi="Arial" w:cs="Arial"/>
        </w:rPr>
        <w:t xml:space="preserve">born, </w:t>
      </w:r>
      <w:r>
        <w:rPr>
          <w:rFonts w:ascii="Arial" w:eastAsia="Arial" w:hAnsi="Arial" w:cs="Arial"/>
          <w:u w:val="single"/>
        </w:rPr>
        <w:t>may not</w:t>
      </w:r>
      <w:r>
        <w:rPr>
          <w:rFonts w:ascii="Arial" w:eastAsia="Arial" w:hAnsi="Arial" w:cs="Arial"/>
        </w:rPr>
        <w:t xml:space="preserve"> be buried</w:t>
      </w:r>
      <w:r>
        <w:rPr>
          <w:rFonts w:ascii="Arial" w:eastAsia="Arial" w:hAnsi="Arial" w:cs="Arial"/>
        </w:rPr>
        <w:t>.</w:t>
      </w:r>
    </w:p>
    <w:p>
      <w:pPr>
        <w:numPr>
          <w:ilvl w:val="0"/>
          <w:numId w:val="5"/>
        </w:numPr>
        <w:pBdr>
          <w:left w:val="none" w:sz="0" w:space="14" w:color="auto"/>
        </w:pBdr>
        <w:spacing w:before="480" w:line="480" w:lineRule="auto"/>
        <w:ind w:left="720" w:right="0" w:hanging="686"/>
        <w:jc w:val="both"/>
        <w:rPr>
          <w:rFonts w:ascii="Arial" w:eastAsia="Arial" w:hAnsi="Arial" w:cs="Arial"/>
        </w:rPr>
      </w:pPr>
      <w:r>
        <w:rPr>
          <w:rFonts w:ascii="Arial" w:eastAsia="Arial" w:hAnsi="Arial" w:cs="Arial"/>
        </w:rPr>
        <w:t xml:space="preserve">As a result, </w:t>
      </w:r>
      <w:r>
        <w:rPr>
          <w:rFonts w:ascii="Arial" w:eastAsia="Arial" w:hAnsi="Arial" w:cs="Arial"/>
        </w:rPr>
        <w:t>a</w:t>
      </w:r>
      <w:r>
        <w:rPr>
          <w:rFonts w:ascii="Arial" w:eastAsia="Arial" w:hAnsi="Arial" w:cs="Arial"/>
        </w:rPr>
        <w:t xml:space="preserve"> deceased unborn child, other than a child that is still-born, is </w:t>
      </w:r>
      <w:r>
        <w:rPr>
          <w:rFonts w:ascii="Arial" w:eastAsia="Arial" w:hAnsi="Arial" w:cs="Arial"/>
        </w:rPr>
        <w:t xml:space="preserve">treated as </w:t>
      </w:r>
      <w:r>
        <w:rPr>
          <w:rFonts w:ascii="Arial" w:eastAsia="Arial" w:hAnsi="Arial" w:cs="Arial"/>
        </w:rPr>
        <w:t xml:space="preserve">medical </w:t>
      </w:r>
      <w:r>
        <w:rPr>
          <w:rFonts w:ascii="Arial" w:eastAsia="Arial" w:hAnsi="Arial" w:cs="Arial"/>
        </w:rPr>
        <w:t>waste</w:t>
      </w:r>
      <w:r>
        <w:rPr>
          <w:rFonts w:ascii="Arial" w:eastAsia="Arial" w:hAnsi="Arial" w:cs="Arial"/>
        </w:rPr>
        <w:t xml:space="preserve">, and </w:t>
      </w:r>
      <w:r>
        <w:rPr>
          <w:rFonts w:ascii="Arial" w:eastAsia="Arial" w:hAnsi="Arial" w:cs="Arial"/>
        </w:rPr>
        <w:t>d</w:t>
      </w:r>
      <w:r>
        <w:rPr>
          <w:rFonts w:ascii="Arial" w:eastAsia="Arial" w:hAnsi="Arial" w:cs="Arial"/>
        </w:rPr>
        <w:t>eceased unborn children, other than children that are still</w:t>
      </w:r>
      <w:r>
        <w:rPr>
          <w:rFonts w:ascii="Arial" w:eastAsia="Arial" w:hAnsi="Arial" w:cs="Arial"/>
        </w:rPr>
        <w:t>-</w:t>
      </w:r>
      <w:r>
        <w:rPr>
          <w:rFonts w:ascii="Arial" w:eastAsia="Arial" w:hAnsi="Arial" w:cs="Arial"/>
        </w:rPr>
        <w:t xml:space="preserve">born, </w:t>
      </w:r>
      <w:r>
        <w:rPr>
          <w:rFonts w:ascii="Arial" w:eastAsia="Arial" w:hAnsi="Arial" w:cs="Arial"/>
          <w:u w:val="single"/>
        </w:rPr>
        <w:t>must</w:t>
      </w:r>
      <w:r>
        <w:rPr>
          <w:rFonts w:ascii="Arial" w:eastAsia="Arial" w:hAnsi="Arial" w:cs="Arial"/>
        </w:rPr>
        <w:t xml:space="preserve"> be incinerated togethe</w:t>
      </w:r>
      <w:r>
        <w:rPr>
          <w:rFonts w:ascii="Arial" w:eastAsia="Arial" w:hAnsi="Arial" w:cs="Arial"/>
        </w:rPr>
        <w:t>r with human and medical waste.</w:t>
      </w:r>
      <w:r>
        <w:rPr>
          <w:rFonts w:ascii="Arial" w:eastAsia="Arial" w:hAnsi="Arial" w:cs="Arial"/>
          <w:color w:val="000000"/>
          <w:sz w:val="21"/>
          <w:szCs w:val="21"/>
          <w:u w:val="none"/>
          <w:vertAlign w:val="superscript"/>
        </w:rPr>
        <w:footnoteReference w:id="19"/>
      </w:r>
    </w:p>
    <w:p>
      <w:pPr>
        <w:numPr>
          <w:ilvl w:val="0"/>
          <w:numId w:val="5"/>
        </w:numPr>
        <w:pBdr>
          <w:left w:val="none" w:sz="0" w:space="14" w:color="auto"/>
        </w:pBdr>
        <w:spacing w:before="480" w:line="480" w:lineRule="auto"/>
        <w:ind w:left="720" w:right="0" w:hanging="686"/>
        <w:jc w:val="both"/>
        <w:rPr>
          <w:rFonts w:ascii="Arial" w:eastAsia="Arial" w:hAnsi="Arial" w:cs="Arial"/>
        </w:rPr>
      </w:pPr>
      <w:r>
        <w:rPr>
          <w:rFonts w:ascii="Arial" w:eastAsia="Arial" w:hAnsi="Arial" w:cs="Arial"/>
        </w:rPr>
        <w:t>T</w:t>
      </w:r>
      <w:r>
        <w:rPr>
          <w:rFonts w:ascii="Arial" w:eastAsia="Arial" w:hAnsi="Arial" w:cs="Arial"/>
        </w:rPr>
        <w:t xml:space="preserve">he impugned legislation </w:t>
      </w:r>
      <w:r>
        <w:rPr>
          <w:rFonts w:ascii="Arial" w:eastAsia="Arial" w:hAnsi="Arial" w:cs="Arial"/>
        </w:rPr>
        <w:t xml:space="preserve">prevents and prohibits </w:t>
      </w:r>
      <w:r>
        <w:rPr>
          <w:rFonts w:ascii="Arial" w:eastAsia="Arial" w:hAnsi="Arial" w:cs="Arial"/>
        </w:rPr>
        <w:t>the Church’s members</w:t>
      </w:r>
      <w:r>
        <w:rPr>
          <w:rFonts w:ascii="Arial" w:eastAsia="Arial" w:hAnsi="Arial" w:cs="Arial"/>
        </w:rPr>
        <w:t xml:space="preserve"> (and others) </w:t>
      </w:r>
      <w:r>
        <w:rPr>
          <w:rFonts w:ascii="Arial" w:eastAsia="Arial" w:hAnsi="Arial" w:cs="Arial"/>
        </w:rPr>
        <w:t xml:space="preserve">from manifesting </w:t>
      </w:r>
      <w:r>
        <w:rPr>
          <w:rFonts w:ascii="Arial" w:eastAsia="Arial" w:hAnsi="Arial" w:cs="Arial"/>
        </w:rPr>
        <w:t xml:space="preserve">and living in accordance with </w:t>
      </w:r>
      <w:r>
        <w:rPr>
          <w:rFonts w:ascii="Arial" w:eastAsia="Arial" w:hAnsi="Arial" w:cs="Arial"/>
        </w:rPr>
        <w:t xml:space="preserve">their religious </w:t>
      </w:r>
      <w:r>
        <w:rPr>
          <w:rFonts w:ascii="Arial" w:eastAsia="Arial" w:hAnsi="Arial" w:cs="Arial"/>
        </w:rPr>
        <w:t>beliefs</w:t>
      </w:r>
      <w:r>
        <w:rPr>
          <w:rFonts w:ascii="Arial" w:eastAsia="Arial" w:hAnsi="Arial" w:cs="Arial"/>
        </w:rPr>
        <w:t>.</w:t>
      </w:r>
    </w:p>
    <w:p>
      <w:pPr>
        <w:numPr>
          <w:ilvl w:val="0"/>
          <w:numId w:val="5"/>
        </w:numPr>
        <w:pBdr>
          <w:left w:val="none" w:sz="0" w:space="14" w:color="auto"/>
        </w:pBdr>
        <w:spacing w:before="480" w:after="0" w:line="480" w:lineRule="auto"/>
        <w:ind w:left="720" w:right="0" w:hanging="686"/>
        <w:jc w:val="both"/>
        <w:rPr>
          <w:rFonts w:ascii="Arial" w:eastAsia="Arial" w:hAnsi="Arial" w:cs="Arial"/>
        </w:rPr>
      </w:pPr>
      <w:r>
        <w:rPr>
          <w:rFonts w:ascii="Arial" w:eastAsia="Arial" w:hAnsi="Arial" w:cs="Arial"/>
        </w:rPr>
        <w:t xml:space="preserve">Accordingly, we submit that </w:t>
      </w:r>
      <w:r>
        <w:rPr>
          <w:rFonts w:ascii="Arial" w:eastAsia="Arial" w:hAnsi="Arial" w:cs="Arial"/>
        </w:rPr>
        <w:t xml:space="preserve">the impugned legislation </w:t>
      </w:r>
      <w:r>
        <w:rPr>
          <w:rFonts w:ascii="Arial" w:eastAsia="Arial" w:hAnsi="Arial" w:cs="Arial"/>
        </w:rPr>
        <w:t>infringes</w:t>
      </w:r>
      <w:r>
        <w:rPr>
          <w:rFonts w:ascii="Arial" w:eastAsia="Arial" w:hAnsi="Arial" w:cs="Arial"/>
        </w:rPr>
        <w:t xml:space="preserve"> the Church’s members right to freedom of religion</w:t>
      </w:r>
      <w:r>
        <w:rPr>
          <w:rFonts w:ascii="Arial" w:eastAsia="Arial" w:hAnsi="Arial" w:cs="Arial"/>
        </w:rPr>
        <w:t xml:space="preserve"> contained in section 15 of the Constitution</w:t>
      </w:r>
      <w:r>
        <w:rPr>
          <w:rFonts w:ascii="Arial" w:eastAsia="Arial" w:hAnsi="Arial" w:cs="Arial"/>
        </w:rPr>
        <w:t>.</w:t>
      </w:r>
    </w:p>
    <w:p>
      <w:pPr>
        <w:keepNext/>
        <w:spacing w:before="0" w:after="360" w:line="480" w:lineRule="auto"/>
        <w:jc w:val="both"/>
      </w:pPr>
    </w:p>
    <w:p>
      <w:pPr>
        <w:keepNext/>
        <w:spacing w:before="0" w:after="360" w:line="480" w:lineRule="auto"/>
        <w:jc w:val="both"/>
      </w:pPr>
      <w:r>
        <w:rPr>
          <w:rFonts w:ascii="Arial" w:eastAsia="Arial" w:hAnsi="Arial" w:cs="Arial"/>
          <w:b/>
          <w:bCs/>
          <w:i/>
          <w:iCs/>
        </w:rPr>
        <w:t>The right to equality</w:t>
      </w:r>
    </w:p>
    <w:p>
      <w:pPr>
        <w:numPr>
          <w:ilvl w:val="0"/>
          <w:numId w:val="6"/>
        </w:numPr>
        <w:pBdr>
          <w:left w:val="none" w:sz="0" w:space="13" w:color="auto"/>
        </w:pBdr>
        <w:spacing w:before="0" w:after="360" w:line="480" w:lineRule="auto"/>
        <w:ind w:left="709" w:right="0" w:hanging="675"/>
        <w:jc w:val="both"/>
        <w:rPr>
          <w:rFonts w:ascii="Arial" w:eastAsia="Arial" w:hAnsi="Arial" w:cs="Arial"/>
        </w:rPr>
      </w:pPr>
      <w:r>
        <w:rPr>
          <w:rFonts w:ascii="Arial" w:eastAsia="Arial" w:hAnsi="Arial" w:cs="Arial"/>
        </w:rPr>
        <w:t xml:space="preserve">The Constitution </w:t>
      </w:r>
      <w:r>
        <w:rPr>
          <w:rFonts w:ascii="Arial" w:eastAsia="Arial" w:hAnsi="Arial" w:cs="Arial"/>
        </w:rPr>
        <w:t>guarantees to</w:t>
      </w:r>
      <w:r>
        <w:rPr>
          <w:rFonts w:ascii="Arial" w:eastAsia="Arial" w:hAnsi="Arial" w:cs="Arial"/>
        </w:rPr>
        <w:t xml:space="preserve"> everyone the right to equality.</w:t>
      </w:r>
      <w:r>
        <w:rPr>
          <w:rFonts w:ascii="Arial" w:eastAsia="Arial" w:hAnsi="Arial" w:cs="Arial"/>
          <w:color w:val="000000"/>
          <w:sz w:val="21"/>
          <w:szCs w:val="21"/>
          <w:u w:val="none"/>
          <w:vertAlign w:val="superscript"/>
        </w:rPr>
        <w:footnoteReference w:id="20"/>
      </w:r>
      <w:r>
        <w:rPr>
          <w:rFonts w:ascii="Arial" w:eastAsia="Arial" w:hAnsi="Arial" w:cs="Arial"/>
        </w:rPr>
        <w:t xml:space="preserve"> </w:t>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T</w:t>
      </w:r>
      <w:r>
        <w:rPr>
          <w:rFonts w:ascii="Arial" w:eastAsia="Arial" w:hAnsi="Arial" w:cs="Arial"/>
        </w:rPr>
        <w:t>he test</w:t>
      </w:r>
      <w:r>
        <w:rPr>
          <w:rFonts w:ascii="Arial" w:eastAsia="Arial" w:hAnsi="Arial" w:cs="Arial"/>
        </w:rPr>
        <w:t xml:space="preserve"> to be applied in determining whether the right to equality is infringed was laid down by the Constitutional Court</w:t>
      </w:r>
      <w:r>
        <w:rPr>
          <w:rFonts w:ascii="Arial" w:eastAsia="Arial" w:hAnsi="Arial" w:cs="Arial"/>
        </w:rPr>
        <w:t xml:space="preserve"> in </w:t>
      </w:r>
      <w:r>
        <w:rPr>
          <w:rFonts w:ascii="Arial" w:eastAsia="Arial" w:hAnsi="Arial" w:cs="Arial"/>
          <w:i/>
          <w:iCs/>
        </w:rPr>
        <w:t>Harksen</w:t>
      </w:r>
      <w:r>
        <w:rPr>
          <w:rFonts w:ascii="Arial" w:eastAsia="Arial" w:hAnsi="Arial" w:cs="Arial"/>
          <w:i/>
          <w:iCs/>
        </w:rPr>
        <w:t xml:space="preserve"> v Lane</w:t>
      </w:r>
      <w:r>
        <w:rPr>
          <w:rFonts w:ascii="Arial" w:eastAsia="Arial" w:hAnsi="Arial" w:cs="Arial"/>
        </w:rPr>
        <w:t>.</w:t>
      </w:r>
      <w:r>
        <w:rPr>
          <w:rFonts w:ascii="Arial" w:eastAsia="Arial" w:hAnsi="Arial" w:cs="Arial"/>
          <w:color w:val="000000"/>
          <w:sz w:val="21"/>
          <w:szCs w:val="21"/>
          <w:u w:val="none"/>
          <w:vertAlign w:val="superscript"/>
        </w:rPr>
        <w:footnoteReference w:id="21"/>
      </w:r>
      <w:r>
        <w:rPr>
          <w:rFonts w:ascii="Arial" w:eastAsia="Arial" w:hAnsi="Arial" w:cs="Arial"/>
        </w:rPr>
        <w:t xml:space="preserve"> </w:t>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We now</w:t>
      </w:r>
      <w:r>
        <w:rPr>
          <w:rFonts w:ascii="Arial" w:eastAsia="Arial" w:hAnsi="Arial" w:cs="Arial"/>
        </w:rPr>
        <w:t xml:space="preserve"> apply that test to the impugned legislation.</w:t>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The impugned legislation </w:t>
      </w:r>
      <w:r>
        <w:rPr>
          <w:rFonts w:ascii="Arial" w:eastAsia="Arial" w:hAnsi="Arial" w:cs="Arial"/>
        </w:rPr>
        <w:t xml:space="preserve">implicitly </w:t>
      </w:r>
      <w:r>
        <w:rPr>
          <w:rFonts w:ascii="Arial" w:eastAsia="Arial" w:hAnsi="Arial" w:cs="Arial"/>
        </w:rPr>
        <w:t>differentiates between</w:t>
      </w:r>
      <w:r>
        <w:rPr>
          <w:rFonts w:ascii="Arial" w:eastAsia="Arial" w:hAnsi="Arial" w:cs="Arial"/>
        </w:rPr>
        <w:t xml:space="preserve"> two categories of people.</w:t>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The first category consists of </w:t>
      </w:r>
      <w:r>
        <w:rPr>
          <w:rFonts w:ascii="Arial" w:eastAsia="Arial" w:hAnsi="Arial" w:cs="Arial"/>
        </w:rPr>
        <w:t>parents who consider deceased unborn children to amount to medical waste, and who consequently do not wish to bury their deceased unborn children.</w:t>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The second category consists of bereaved parents who</w:t>
      </w:r>
      <w:r>
        <w:rPr>
          <w:rFonts w:ascii="Arial" w:eastAsia="Arial" w:hAnsi="Arial" w:cs="Arial"/>
        </w:rPr>
        <w:t xml:space="preserve"> for religious or non-religious reasons</w:t>
      </w:r>
      <w:r>
        <w:rPr>
          <w:rFonts w:ascii="Arial" w:eastAsia="Arial" w:hAnsi="Arial" w:cs="Arial"/>
        </w:rPr>
        <w:t xml:space="preserve"> consider deceased unborn children to be fully human, and who consequently wish to bury their deceased unborn children in a way th</w:t>
      </w:r>
      <w:r>
        <w:rPr>
          <w:rFonts w:ascii="Arial" w:eastAsia="Arial" w:hAnsi="Arial" w:cs="Arial"/>
        </w:rPr>
        <w:t>ey</w:t>
      </w:r>
      <w:r>
        <w:rPr>
          <w:rFonts w:ascii="Arial" w:eastAsia="Arial" w:hAnsi="Arial" w:cs="Arial"/>
        </w:rPr>
        <w:t xml:space="preserve"> consider just.</w:t>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The members of the Church belong to the second category.</w:t>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As </w:t>
      </w:r>
      <w:r>
        <w:rPr>
          <w:rFonts w:ascii="Arial" w:eastAsia="Arial" w:hAnsi="Arial" w:cs="Arial"/>
        </w:rPr>
        <w:t>we</w:t>
      </w:r>
      <w:r>
        <w:rPr>
          <w:rFonts w:ascii="Arial" w:eastAsia="Arial" w:hAnsi="Arial" w:cs="Arial"/>
        </w:rPr>
        <w:t xml:space="preserve"> </w:t>
      </w:r>
      <w:r>
        <w:rPr>
          <w:rFonts w:ascii="Arial" w:eastAsia="Arial" w:hAnsi="Arial" w:cs="Arial"/>
        </w:rPr>
        <w:t>demonstrate</w:t>
      </w:r>
      <w:r>
        <w:rPr>
          <w:rFonts w:ascii="Arial" w:eastAsia="Arial" w:hAnsi="Arial" w:cs="Arial"/>
        </w:rPr>
        <w:t xml:space="preserve"> in paragraphs </w:t>
      </w:r>
      <w:r>
        <w:rPr>
          <w:rFonts w:ascii="Arial" w:eastAsia="Arial" w:hAnsi="Arial" w:cs="Arial"/>
        </w:rPr>
        <w:t>43</w:t>
      </w:r>
      <w:r>
        <w:rPr>
          <w:rFonts w:ascii="Arial" w:eastAsia="Arial" w:hAnsi="Arial" w:cs="Arial"/>
        </w:rPr>
        <w:t xml:space="preserve"> –</w:t>
      </w:r>
      <w:r>
        <w:rPr>
          <w:rFonts w:ascii="Arial" w:eastAsia="Arial" w:hAnsi="Arial" w:cs="Arial"/>
        </w:rPr>
        <w:t xml:space="preserve"> </w:t>
      </w:r>
      <w:r>
        <w:rPr>
          <w:rFonts w:ascii="Arial" w:eastAsia="Arial" w:hAnsi="Arial" w:cs="Arial"/>
        </w:rPr>
        <w:t>47</w:t>
      </w:r>
      <w:r>
        <w:rPr>
          <w:rFonts w:ascii="Arial" w:eastAsia="Arial" w:hAnsi="Arial" w:cs="Arial"/>
        </w:rPr>
        <w:t xml:space="preserve"> </w:t>
      </w:r>
      <w:r>
        <w:rPr>
          <w:rFonts w:ascii="Arial" w:eastAsia="Arial" w:hAnsi="Arial" w:cs="Arial"/>
        </w:rPr>
        <w:t xml:space="preserve">below, this differentiation is not rationally connected to </w:t>
      </w:r>
      <w:r>
        <w:rPr>
          <w:rFonts w:ascii="Arial" w:eastAsia="Arial" w:hAnsi="Arial" w:cs="Arial"/>
        </w:rPr>
        <w:t>a legitimate governmental purpo</w:t>
      </w:r>
      <w:r>
        <w:rPr>
          <w:rFonts w:ascii="Arial" w:eastAsia="Arial" w:hAnsi="Arial" w:cs="Arial"/>
        </w:rPr>
        <w:t>se.</w:t>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It follows that the impugned legislation </w:t>
      </w:r>
      <w:r>
        <w:rPr>
          <w:rFonts w:ascii="Arial" w:eastAsia="Arial" w:hAnsi="Arial" w:cs="Arial"/>
        </w:rPr>
        <w:t>infringes</w:t>
      </w:r>
      <w:r>
        <w:rPr>
          <w:rFonts w:ascii="Arial" w:eastAsia="Arial" w:hAnsi="Arial" w:cs="Arial"/>
        </w:rPr>
        <w:t xml:space="preserve"> section 9(1) of the Constitution.</w:t>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Furthermore, and in any event, </w:t>
      </w:r>
      <w:r>
        <w:rPr>
          <w:rFonts w:ascii="Arial" w:eastAsia="Arial" w:hAnsi="Arial" w:cs="Arial"/>
        </w:rPr>
        <w:t xml:space="preserve">the differentiation </w:t>
      </w:r>
      <w:r>
        <w:rPr>
          <w:rFonts w:ascii="Arial" w:eastAsia="Arial" w:hAnsi="Arial" w:cs="Arial"/>
        </w:rPr>
        <w:t>is</w:t>
      </w:r>
      <w:r>
        <w:rPr>
          <w:rFonts w:ascii="Arial" w:eastAsia="Arial" w:hAnsi="Arial" w:cs="Arial"/>
        </w:rPr>
        <w:t xml:space="preserve"> on a “listed ground” in section 9(3) of the Constitution</w:t>
      </w:r>
      <w:r>
        <w:rPr>
          <w:rFonts w:ascii="Arial" w:eastAsia="Arial" w:hAnsi="Arial" w:cs="Arial"/>
        </w:rPr>
        <w:t>, that is, “</w:t>
      </w:r>
      <w:r>
        <w:rPr>
          <w:rFonts w:ascii="Arial" w:eastAsia="Arial" w:hAnsi="Arial" w:cs="Arial"/>
          <w:i/>
          <w:iCs/>
        </w:rPr>
        <w:t>religion</w:t>
      </w:r>
      <w:r>
        <w:rPr>
          <w:rFonts w:ascii="Arial" w:eastAsia="Arial" w:hAnsi="Arial" w:cs="Arial"/>
        </w:rPr>
        <w:t>”</w:t>
      </w:r>
      <w:r>
        <w:rPr>
          <w:rFonts w:ascii="Arial" w:eastAsia="Arial" w:hAnsi="Arial" w:cs="Arial"/>
        </w:rPr>
        <w:t xml:space="preserve">. </w:t>
      </w:r>
      <w:r>
        <w:rPr>
          <w:rFonts w:ascii="Arial" w:eastAsia="Arial" w:hAnsi="Arial" w:cs="Arial"/>
        </w:rPr>
        <w:t xml:space="preserve">The </w:t>
      </w:r>
      <w:r>
        <w:rPr>
          <w:rFonts w:ascii="Arial" w:eastAsia="Arial" w:hAnsi="Arial" w:cs="Arial"/>
        </w:rPr>
        <w:t>differentiation</w:t>
      </w:r>
      <w:r>
        <w:rPr>
          <w:rFonts w:ascii="Arial" w:eastAsia="Arial" w:hAnsi="Arial" w:cs="Arial"/>
        </w:rPr>
        <w:t xml:space="preserve"> is therefore presumed to be unfair</w:t>
      </w:r>
      <w:r>
        <w:rPr>
          <w:rFonts w:ascii="Arial" w:eastAsia="Arial" w:hAnsi="Arial" w:cs="Arial"/>
        </w:rPr>
        <w:t xml:space="preserve"> discrimination</w:t>
      </w:r>
      <w:r>
        <w:rPr>
          <w:rFonts w:ascii="Arial" w:eastAsia="Arial" w:hAnsi="Arial" w:cs="Arial"/>
        </w:rPr>
        <w:t>.</w:t>
      </w:r>
      <w:r>
        <w:rPr>
          <w:rFonts w:ascii="Arial" w:eastAsia="Arial" w:hAnsi="Arial" w:cs="Arial"/>
          <w:color w:val="000000"/>
          <w:sz w:val="21"/>
          <w:szCs w:val="21"/>
          <w:u w:val="none"/>
          <w:vertAlign w:val="superscript"/>
        </w:rPr>
        <w:footnoteReference w:id="22"/>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The respondents fail to rebut this presumption.</w:t>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It follows that </w:t>
      </w:r>
      <w:r>
        <w:rPr>
          <w:rFonts w:ascii="Arial" w:eastAsia="Arial" w:hAnsi="Arial" w:cs="Arial"/>
        </w:rPr>
        <w:t xml:space="preserve">the impugned legislation </w:t>
      </w:r>
      <w:r>
        <w:rPr>
          <w:rFonts w:ascii="Arial" w:eastAsia="Arial" w:hAnsi="Arial" w:cs="Arial"/>
        </w:rPr>
        <w:t xml:space="preserve">also </w:t>
      </w:r>
      <w:r>
        <w:rPr>
          <w:rFonts w:ascii="Arial" w:eastAsia="Arial" w:hAnsi="Arial" w:cs="Arial"/>
        </w:rPr>
        <w:t>infringes</w:t>
      </w:r>
      <w:r>
        <w:rPr>
          <w:rFonts w:ascii="Arial" w:eastAsia="Arial" w:hAnsi="Arial" w:cs="Arial"/>
        </w:rPr>
        <w:t xml:space="preserve"> section 9(3) of the Constitution.</w:t>
      </w:r>
    </w:p>
    <w:p>
      <w:pPr>
        <w:numPr>
          <w:ilvl w:val="0"/>
          <w:numId w:val="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Accordingly, we submit that the impugned legislation infringes the right to equality contained in section 9 of the Constitution.</w:t>
      </w:r>
    </w:p>
    <w:p>
      <w:pPr>
        <w:keepNext/>
        <w:spacing w:before="0" w:after="360" w:line="480" w:lineRule="auto"/>
        <w:jc w:val="both"/>
      </w:pPr>
      <w:r>
        <w:rPr>
          <w:rFonts w:ascii="Arial" w:eastAsia="Arial" w:hAnsi="Arial" w:cs="Arial"/>
          <w:b/>
          <w:bCs/>
        </w:rPr>
        <w:t>THE ABSENCE OF JUSTIFICATION</w:t>
      </w:r>
    </w:p>
    <w:p>
      <w:pPr>
        <w:numPr>
          <w:ilvl w:val="0"/>
          <w:numId w:val="7"/>
        </w:numPr>
        <w:pBdr>
          <w:left w:val="none" w:sz="0" w:space="13" w:color="auto"/>
        </w:pBdr>
        <w:spacing w:before="0" w:after="360" w:line="480" w:lineRule="auto"/>
        <w:ind w:left="709" w:right="0" w:hanging="675"/>
        <w:jc w:val="both"/>
        <w:rPr>
          <w:rFonts w:ascii="Arial" w:eastAsia="Arial" w:hAnsi="Arial" w:cs="Arial"/>
        </w:rPr>
      </w:pPr>
      <w:r>
        <w:rPr>
          <w:rFonts w:ascii="Arial" w:eastAsia="Arial" w:hAnsi="Arial" w:cs="Arial"/>
        </w:rPr>
        <w:t xml:space="preserve">Given that the impugned legislation limits the right to religion and the right to </w:t>
      </w:r>
      <w:r>
        <w:rPr>
          <w:rFonts w:ascii="Arial" w:eastAsia="Arial" w:hAnsi="Arial" w:cs="Arial"/>
        </w:rPr>
        <w:t>equality</w:t>
      </w:r>
      <w:r>
        <w:rPr>
          <w:rFonts w:ascii="Arial" w:eastAsia="Arial" w:hAnsi="Arial" w:cs="Arial"/>
        </w:rPr>
        <w:t>, the next question is whether the limitation is reasonable and justifiable in an open and democratic society based on human dignity, equality and freedom.</w:t>
      </w:r>
      <w:r>
        <w:rPr>
          <w:rFonts w:ascii="Arial" w:eastAsia="Arial" w:hAnsi="Arial" w:cs="Arial"/>
          <w:color w:val="000000"/>
          <w:sz w:val="21"/>
          <w:szCs w:val="21"/>
          <w:u w:val="none"/>
          <w:vertAlign w:val="superscript"/>
        </w:rPr>
        <w:footnoteReference w:id="23"/>
      </w:r>
    </w:p>
    <w:p>
      <w:pPr>
        <w:numPr>
          <w:ilvl w:val="0"/>
          <w:numId w:val="7"/>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If the answer to that question is “yes”, the limitation is </w:t>
      </w:r>
      <w:r>
        <w:rPr>
          <w:rFonts w:ascii="Arial" w:eastAsia="Arial" w:hAnsi="Arial" w:cs="Arial"/>
        </w:rPr>
        <w:t>justifiable</w:t>
      </w:r>
      <w:r>
        <w:rPr>
          <w:rFonts w:ascii="Arial" w:eastAsia="Arial" w:hAnsi="Arial" w:cs="Arial"/>
        </w:rPr>
        <w:t xml:space="preserve"> and the impugned legislation is not invalid.</w:t>
      </w:r>
    </w:p>
    <w:p>
      <w:pPr>
        <w:numPr>
          <w:ilvl w:val="0"/>
          <w:numId w:val="7"/>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It is trite that t</w:t>
      </w:r>
      <w:r>
        <w:rPr>
          <w:rFonts w:ascii="Arial" w:eastAsia="Arial" w:hAnsi="Arial" w:cs="Arial"/>
        </w:rPr>
        <w:t>he</w:t>
      </w:r>
      <w:r>
        <w:rPr>
          <w:rFonts w:ascii="Arial" w:eastAsia="Arial" w:hAnsi="Arial" w:cs="Arial"/>
        </w:rPr>
        <w:t xml:space="preserve"> respondents </w:t>
      </w:r>
      <w:r>
        <w:rPr>
          <w:rFonts w:ascii="Arial" w:eastAsia="Arial" w:hAnsi="Arial" w:cs="Arial"/>
        </w:rPr>
        <w:t xml:space="preserve">carry </w:t>
      </w:r>
      <w:r>
        <w:rPr>
          <w:rFonts w:ascii="Arial" w:eastAsia="Arial" w:hAnsi="Arial" w:cs="Arial"/>
        </w:rPr>
        <w:t>the burden of justification.</w:t>
      </w:r>
      <w:r>
        <w:rPr>
          <w:rFonts w:ascii="Arial" w:eastAsia="Arial" w:hAnsi="Arial" w:cs="Arial"/>
          <w:color w:val="000000"/>
          <w:sz w:val="21"/>
          <w:szCs w:val="21"/>
          <w:u w:val="none"/>
          <w:vertAlign w:val="superscript"/>
        </w:rPr>
        <w:footnoteReference w:id="24"/>
      </w:r>
      <w:r>
        <w:rPr>
          <w:rFonts w:ascii="Arial" w:eastAsia="Arial" w:hAnsi="Arial" w:cs="Arial"/>
        </w:rPr>
        <w:t xml:space="preserve"> They </w:t>
      </w:r>
      <w:r>
        <w:rPr>
          <w:rFonts w:ascii="Arial" w:eastAsia="Arial" w:hAnsi="Arial" w:cs="Arial"/>
        </w:rPr>
        <w:t xml:space="preserve">establish that </w:t>
      </w:r>
      <w:r>
        <w:rPr>
          <w:rFonts w:ascii="Arial" w:eastAsia="Arial" w:hAnsi="Arial" w:cs="Arial"/>
        </w:rPr>
        <w:t xml:space="preserve">the </w:t>
      </w:r>
      <w:r>
        <w:rPr>
          <w:rFonts w:ascii="Arial" w:eastAsia="Arial" w:hAnsi="Arial" w:cs="Arial"/>
        </w:rPr>
        <w:t>answer is “yes”.</w:t>
      </w:r>
      <w:r>
        <w:rPr>
          <w:rFonts w:ascii="Arial" w:eastAsia="Arial" w:hAnsi="Arial" w:cs="Arial"/>
          <w:color w:val="000000"/>
          <w:sz w:val="21"/>
          <w:szCs w:val="21"/>
          <w:u w:val="none"/>
          <w:vertAlign w:val="superscript"/>
        </w:rPr>
        <w:footnoteReference w:id="25"/>
      </w:r>
    </w:p>
    <w:p>
      <w:pPr>
        <w:numPr>
          <w:ilvl w:val="0"/>
          <w:numId w:val="7"/>
        </w:numPr>
        <w:pBdr>
          <w:left w:val="none" w:sz="0" w:space="13" w:color="auto"/>
        </w:pBdr>
        <w:spacing w:line="480" w:lineRule="auto"/>
        <w:ind w:left="709" w:right="0" w:hanging="675"/>
        <w:jc w:val="both"/>
        <w:rPr>
          <w:rFonts w:ascii="Arial" w:eastAsia="Arial" w:hAnsi="Arial" w:cs="Arial"/>
        </w:rPr>
      </w:pPr>
      <w:r>
        <w:rPr>
          <w:rFonts w:ascii="Arial" w:eastAsia="Arial" w:hAnsi="Arial" w:cs="Arial"/>
        </w:rPr>
        <w:t xml:space="preserve">The respondents fail to </w:t>
      </w:r>
      <w:r>
        <w:rPr>
          <w:rFonts w:ascii="Arial" w:eastAsia="Arial" w:hAnsi="Arial" w:cs="Arial"/>
        </w:rPr>
        <w:t>do so</w:t>
      </w:r>
      <w:r>
        <w:rPr>
          <w:rFonts w:ascii="Arial" w:eastAsia="Arial" w:hAnsi="Arial" w:cs="Arial"/>
        </w:rPr>
        <w:t xml:space="preserve"> </w:t>
      </w:r>
      <w:r>
        <w:rPr>
          <w:rFonts w:ascii="Arial" w:eastAsia="Arial" w:hAnsi="Arial" w:cs="Arial"/>
        </w:rPr>
        <w:t xml:space="preserve">for </w:t>
      </w:r>
      <w:r>
        <w:rPr>
          <w:rFonts w:ascii="Arial" w:eastAsia="Arial" w:hAnsi="Arial" w:cs="Arial"/>
        </w:rPr>
        <w:t>three</w:t>
      </w:r>
      <w:r>
        <w:rPr>
          <w:rFonts w:ascii="Arial" w:eastAsia="Arial" w:hAnsi="Arial" w:cs="Arial"/>
        </w:rPr>
        <w:t xml:space="preserve"> reasons:</w:t>
      </w:r>
    </w:p>
    <w:p>
      <w:pPr>
        <w:numPr>
          <w:ilvl w:val="1"/>
          <w:numId w:val="7"/>
        </w:numPr>
        <w:spacing w:after="360" w:line="480" w:lineRule="auto"/>
        <w:ind w:left="1418" w:right="0" w:hanging="709"/>
        <w:jc w:val="both"/>
        <w:rPr>
          <w:rFonts w:ascii="Arial" w:eastAsia="Arial" w:hAnsi="Arial" w:cs="Arial"/>
        </w:rPr>
      </w:pPr>
      <w:r>
        <w:rPr>
          <w:rFonts w:ascii="Arial" w:eastAsia="Arial" w:hAnsi="Arial" w:cs="Arial"/>
        </w:rPr>
        <w:t>f</w:t>
      </w:r>
      <w:r>
        <w:rPr>
          <w:rFonts w:ascii="Arial" w:eastAsia="Arial" w:hAnsi="Arial" w:cs="Arial"/>
        </w:rPr>
        <w:t xml:space="preserve">irst, there is no </w:t>
      </w:r>
      <w:r>
        <w:rPr>
          <w:rFonts w:ascii="Arial" w:eastAsia="Arial" w:hAnsi="Arial" w:cs="Arial"/>
        </w:rPr>
        <w:t>evidence in support of their proffered justification</w:t>
      </w:r>
      <w:r>
        <w:rPr>
          <w:rFonts w:ascii="Arial" w:eastAsia="Arial" w:hAnsi="Arial" w:cs="Arial"/>
        </w:rPr>
        <w:t>;</w:t>
      </w:r>
    </w:p>
    <w:p>
      <w:pPr>
        <w:numPr>
          <w:ilvl w:val="1"/>
          <w:numId w:val="7"/>
        </w:numPr>
        <w:spacing w:after="360" w:line="480" w:lineRule="auto"/>
        <w:ind w:left="1418" w:right="0" w:hanging="709"/>
        <w:jc w:val="both"/>
        <w:rPr>
          <w:rFonts w:ascii="Arial" w:eastAsia="Arial" w:hAnsi="Arial" w:cs="Arial"/>
        </w:rPr>
      </w:pPr>
      <w:r>
        <w:rPr>
          <w:rFonts w:ascii="Arial" w:eastAsia="Arial" w:hAnsi="Arial" w:cs="Arial"/>
        </w:rPr>
        <w:t>s</w:t>
      </w:r>
      <w:r>
        <w:rPr>
          <w:rFonts w:ascii="Arial" w:eastAsia="Arial" w:hAnsi="Arial" w:cs="Arial"/>
        </w:rPr>
        <w:t>econd, there is no rational connection between the impugned legislation and their proffered justification</w:t>
      </w:r>
      <w:r>
        <w:rPr>
          <w:rFonts w:ascii="Arial" w:eastAsia="Arial" w:hAnsi="Arial" w:cs="Arial"/>
        </w:rPr>
        <w:t>; and</w:t>
      </w:r>
    </w:p>
    <w:p>
      <w:pPr>
        <w:numPr>
          <w:ilvl w:val="1"/>
          <w:numId w:val="7"/>
        </w:numPr>
        <w:spacing w:after="360" w:line="480" w:lineRule="auto"/>
        <w:ind w:left="1418" w:right="0" w:hanging="709"/>
        <w:jc w:val="both"/>
        <w:rPr>
          <w:rFonts w:ascii="Arial" w:eastAsia="Arial" w:hAnsi="Arial" w:cs="Arial"/>
        </w:rPr>
      </w:pPr>
      <w:r>
        <w:rPr>
          <w:rFonts w:ascii="Arial" w:eastAsia="Arial" w:hAnsi="Arial" w:cs="Arial"/>
        </w:rPr>
        <w:t>t</w:t>
      </w:r>
      <w:r>
        <w:rPr>
          <w:rFonts w:ascii="Arial" w:eastAsia="Arial" w:hAnsi="Arial" w:cs="Arial"/>
        </w:rPr>
        <w:t xml:space="preserve">hird, </w:t>
      </w:r>
      <w:r>
        <w:rPr>
          <w:rFonts w:ascii="Arial" w:eastAsia="Arial" w:hAnsi="Arial" w:cs="Arial"/>
        </w:rPr>
        <w:t>there are less restrictive means to achieve the proffered justification.</w:t>
      </w:r>
    </w:p>
    <w:p>
      <w:pPr>
        <w:keepNext/>
        <w:spacing w:before="0" w:after="360" w:line="480" w:lineRule="auto"/>
        <w:jc w:val="both"/>
      </w:pPr>
      <w:r>
        <w:rPr>
          <w:rFonts w:ascii="Arial" w:eastAsia="Arial" w:hAnsi="Arial" w:cs="Arial"/>
          <w:b/>
          <w:bCs/>
          <w:i/>
          <w:iCs/>
        </w:rPr>
        <w:t>The proffered justification</w:t>
      </w:r>
    </w:p>
    <w:p>
      <w:pPr>
        <w:numPr>
          <w:ilvl w:val="0"/>
          <w:numId w:val="8"/>
        </w:numPr>
        <w:pBdr>
          <w:left w:val="none" w:sz="0" w:space="13" w:color="auto"/>
        </w:pBdr>
        <w:spacing w:before="0" w:after="360" w:line="480" w:lineRule="auto"/>
        <w:ind w:left="709" w:right="0" w:hanging="675"/>
        <w:jc w:val="both"/>
        <w:rPr>
          <w:rFonts w:ascii="Arial" w:eastAsia="Arial" w:hAnsi="Arial" w:cs="Arial"/>
        </w:rPr>
      </w:pPr>
      <w:r>
        <w:rPr>
          <w:rFonts w:ascii="Arial" w:eastAsia="Arial" w:hAnsi="Arial" w:cs="Arial"/>
        </w:rPr>
        <w:t xml:space="preserve">It is hard to find </w:t>
      </w:r>
      <w:r>
        <w:rPr>
          <w:rFonts w:ascii="Arial" w:eastAsia="Arial" w:hAnsi="Arial" w:cs="Arial"/>
        </w:rPr>
        <w:t>the</w:t>
      </w:r>
      <w:r>
        <w:rPr>
          <w:rFonts w:ascii="Arial" w:eastAsia="Arial" w:hAnsi="Arial" w:cs="Arial"/>
        </w:rPr>
        <w:t xml:space="preserve"> justification for the impugned legislation in the respondents’ affidavits.</w:t>
      </w:r>
    </w:p>
    <w:p>
      <w:pPr>
        <w:numPr>
          <w:ilvl w:val="0"/>
          <w:numId w:val="8"/>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To the extent that there is any </w:t>
      </w:r>
      <w:r>
        <w:rPr>
          <w:rFonts w:ascii="Arial" w:eastAsia="Arial" w:hAnsi="Arial" w:cs="Arial"/>
        </w:rPr>
        <w:t>coherent</w:t>
      </w:r>
      <w:r>
        <w:rPr>
          <w:rFonts w:ascii="Arial" w:eastAsia="Arial" w:hAnsi="Arial" w:cs="Arial"/>
        </w:rPr>
        <w:t xml:space="preserve"> </w:t>
      </w:r>
      <w:r>
        <w:rPr>
          <w:rFonts w:ascii="Arial" w:eastAsia="Arial" w:hAnsi="Arial" w:cs="Arial"/>
        </w:rPr>
        <w:t>justification</w:t>
      </w:r>
      <w:r>
        <w:rPr>
          <w:rFonts w:ascii="Arial" w:eastAsia="Arial" w:hAnsi="Arial" w:cs="Arial"/>
        </w:rPr>
        <w:t>, it</w:t>
      </w:r>
      <w:r>
        <w:rPr>
          <w:rFonts w:ascii="Arial" w:eastAsia="Arial" w:hAnsi="Arial" w:cs="Arial"/>
        </w:rPr>
        <w:t xml:space="preserve"> seems to be that </w:t>
      </w:r>
      <w:r>
        <w:rPr>
          <w:rFonts w:ascii="Arial" w:eastAsia="Arial" w:hAnsi="Arial" w:cs="Arial"/>
        </w:rPr>
        <w:t>the impugned legislation protects “the health and welfare of human beings”.</w:t>
      </w:r>
      <w:r>
        <w:rPr>
          <w:rFonts w:ascii="Arial" w:eastAsia="Arial" w:hAnsi="Arial" w:cs="Arial"/>
          <w:color w:val="000000"/>
          <w:sz w:val="21"/>
          <w:szCs w:val="21"/>
          <w:u w:val="none"/>
          <w:vertAlign w:val="superscript"/>
        </w:rPr>
        <w:footnoteReference w:id="26"/>
      </w:r>
    </w:p>
    <w:p>
      <w:pPr>
        <w:keepNext/>
        <w:spacing w:before="0" w:after="360" w:line="480" w:lineRule="auto"/>
        <w:jc w:val="both"/>
      </w:pPr>
      <w:r>
        <w:rPr>
          <w:rFonts w:ascii="Arial" w:eastAsia="Arial" w:hAnsi="Arial" w:cs="Arial"/>
          <w:b/>
          <w:bCs/>
          <w:i/>
          <w:iCs/>
        </w:rPr>
        <w:t>No evidence in support of the proffered justification</w:t>
      </w:r>
    </w:p>
    <w:p>
      <w:pPr>
        <w:numPr>
          <w:ilvl w:val="0"/>
          <w:numId w:val="9"/>
        </w:numPr>
        <w:pBdr>
          <w:left w:val="none" w:sz="0" w:space="13" w:color="auto"/>
        </w:pBdr>
        <w:spacing w:before="0" w:after="360" w:line="480" w:lineRule="auto"/>
        <w:ind w:left="709" w:right="0" w:hanging="675"/>
        <w:jc w:val="both"/>
        <w:rPr>
          <w:rFonts w:ascii="Arial" w:eastAsia="Arial" w:hAnsi="Arial" w:cs="Arial"/>
        </w:rPr>
      </w:pPr>
      <w:r>
        <w:rPr>
          <w:rFonts w:ascii="Arial" w:eastAsia="Arial" w:hAnsi="Arial" w:cs="Arial"/>
        </w:rPr>
        <w:t>But t</w:t>
      </w:r>
      <w:r>
        <w:rPr>
          <w:rFonts w:ascii="Arial" w:eastAsia="Arial" w:hAnsi="Arial" w:cs="Arial"/>
        </w:rPr>
        <w:t xml:space="preserve">he respondents </w:t>
      </w:r>
      <w:r>
        <w:rPr>
          <w:rFonts w:ascii="Arial" w:eastAsia="Arial" w:hAnsi="Arial" w:cs="Arial"/>
        </w:rPr>
        <w:t xml:space="preserve">do not </w:t>
      </w:r>
      <w:r>
        <w:rPr>
          <w:rFonts w:ascii="Arial" w:eastAsia="Arial" w:hAnsi="Arial" w:cs="Arial"/>
        </w:rPr>
        <w:t>provided</w:t>
      </w:r>
      <w:r>
        <w:rPr>
          <w:rFonts w:ascii="Arial" w:eastAsia="Arial" w:hAnsi="Arial" w:cs="Arial"/>
        </w:rPr>
        <w:t xml:space="preserve"> </w:t>
      </w:r>
      <w:r>
        <w:rPr>
          <w:rFonts w:ascii="Arial" w:eastAsia="Arial" w:hAnsi="Arial" w:cs="Arial"/>
          <w:u w:val="single"/>
        </w:rPr>
        <w:t>any evidence</w:t>
      </w:r>
      <w:r>
        <w:rPr>
          <w:rFonts w:ascii="Arial" w:eastAsia="Arial" w:hAnsi="Arial" w:cs="Arial"/>
        </w:rPr>
        <w:t xml:space="preserve"> – other than the </w:t>
      </w:r>
      <w:r>
        <w:rPr>
          <w:rFonts w:ascii="Arial" w:eastAsia="Arial" w:hAnsi="Arial" w:cs="Arial"/>
          <w:i/>
          <w:iCs/>
        </w:rPr>
        <w:t xml:space="preserve">ipse </w:t>
      </w:r>
      <w:r>
        <w:rPr>
          <w:rFonts w:ascii="Arial" w:eastAsia="Arial" w:hAnsi="Arial" w:cs="Arial"/>
          <w:i/>
          <w:iCs/>
        </w:rPr>
        <w:t>dixit</w:t>
      </w:r>
      <w:r>
        <w:rPr>
          <w:rFonts w:ascii="Arial" w:eastAsia="Arial" w:hAnsi="Arial" w:cs="Arial"/>
        </w:rPr>
        <w:t xml:space="preserve"> of Dr Pillay and Mr </w:t>
      </w:r>
      <w:r>
        <w:rPr>
          <w:rFonts w:ascii="Arial" w:eastAsia="Arial" w:hAnsi="Arial" w:cs="Arial"/>
        </w:rPr>
        <w:t>Apleni</w:t>
      </w:r>
      <w:r>
        <w:rPr>
          <w:rFonts w:ascii="Arial" w:eastAsia="Arial" w:hAnsi="Arial" w:cs="Arial"/>
        </w:rPr>
        <w:t xml:space="preserve"> – that the health and welfare of human beings is protected by prohibiting the burial of deceased unborn children (other than children that are still-born).</w:t>
      </w:r>
      <w:r>
        <w:rPr>
          <w:rFonts w:ascii="Arial" w:eastAsia="Arial" w:hAnsi="Arial" w:cs="Arial"/>
        </w:rPr>
        <w:t xml:space="preserve"> The respondents have not, for instance, provided data, statistics, expert</w:t>
      </w:r>
      <w:r>
        <w:rPr>
          <w:rFonts w:ascii="Arial" w:eastAsia="Arial" w:hAnsi="Arial" w:cs="Arial"/>
        </w:rPr>
        <w:t xml:space="preserve"> medical</w:t>
      </w:r>
      <w:r>
        <w:rPr>
          <w:rFonts w:ascii="Arial" w:eastAsia="Arial" w:hAnsi="Arial" w:cs="Arial"/>
        </w:rPr>
        <w:t xml:space="preserve"> opinion, or </w:t>
      </w:r>
      <w:r>
        <w:rPr>
          <w:rFonts w:ascii="Arial" w:eastAsia="Arial" w:hAnsi="Arial" w:cs="Arial"/>
        </w:rPr>
        <w:t xml:space="preserve">even </w:t>
      </w:r>
      <w:r>
        <w:rPr>
          <w:rFonts w:ascii="Arial" w:eastAsia="Arial" w:hAnsi="Arial" w:cs="Arial"/>
        </w:rPr>
        <w:t>corroborating statements to support Dr</w:t>
      </w:r>
      <w:r>
        <w:rPr>
          <w:rFonts w:ascii="Arial" w:eastAsia="Arial" w:hAnsi="Arial" w:cs="Arial"/>
        </w:rPr>
        <w:t> </w:t>
      </w:r>
      <w:r>
        <w:rPr>
          <w:rFonts w:ascii="Arial" w:eastAsia="Arial" w:hAnsi="Arial" w:cs="Arial"/>
        </w:rPr>
        <w:t>Pillay’s and Mr</w:t>
      </w:r>
      <w:r>
        <w:rPr>
          <w:rFonts w:ascii="Arial" w:eastAsia="Arial" w:hAnsi="Arial" w:cs="Arial"/>
        </w:rPr>
        <w:t> </w:t>
      </w:r>
      <w:r>
        <w:rPr>
          <w:rFonts w:ascii="Arial" w:eastAsia="Arial" w:hAnsi="Arial" w:cs="Arial"/>
        </w:rPr>
        <w:t>Apleni’s</w:t>
      </w:r>
      <w:r>
        <w:rPr>
          <w:rFonts w:ascii="Arial" w:eastAsia="Arial" w:hAnsi="Arial" w:cs="Arial"/>
        </w:rPr>
        <w:t xml:space="preserve"> say-so.</w:t>
      </w:r>
    </w:p>
    <w:p>
      <w:pPr>
        <w:numPr>
          <w:ilvl w:val="0"/>
          <w:numId w:val="9"/>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This means that </w:t>
      </w:r>
      <w:r>
        <w:rPr>
          <w:rFonts w:ascii="Arial" w:eastAsia="Arial" w:hAnsi="Arial" w:cs="Arial"/>
        </w:rPr>
        <w:t>the respondents</w:t>
      </w:r>
      <w:r>
        <w:rPr>
          <w:rFonts w:ascii="Arial" w:eastAsia="Arial" w:hAnsi="Arial" w:cs="Arial"/>
        </w:rPr>
        <w:t xml:space="preserve"> have failed to make out a case that the impugned legislation is justifiable under section 36 of the Constitution. </w:t>
      </w:r>
      <w:r>
        <w:rPr>
          <w:rFonts w:ascii="Arial" w:eastAsia="Arial" w:hAnsi="Arial" w:cs="Arial"/>
        </w:rPr>
        <w:t xml:space="preserve">This is because the </w:t>
      </w:r>
      <w:r>
        <w:rPr>
          <w:rFonts w:ascii="Arial" w:eastAsia="Arial" w:hAnsi="Arial" w:cs="Arial"/>
        </w:rPr>
        <w:t xml:space="preserve">Constitutional Court </w:t>
      </w:r>
      <w:r>
        <w:rPr>
          <w:rFonts w:ascii="Arial" w:eastAsia="Arial" w:hAnsi="Arial" w:cs="Arial"/>
        </w:rPr>
        <w:t xml:space="preserve">has </w:t>
      </w:r>
      <w:r>
        <w:rPr>
          <w:rFonts w:ascii="Arial" w:eastAsia="Arial" w:hAnsi="Arial" w:cs="Arial"/>
        </w:rPr>
        <w:t>held that</w:t>
      </w:r>
      <w:r>
        <w:rPr>
          <w:rFonts w:ascii="Arial" w:eastAsia="Arial" w:hAnsi="Arial" w:cs="Arial"/>
        </w:rPr>
        <w:t>:</w:t>
      </w:r>
    </w:p>
    <w:p>
      <w:pPr>
        <w:spacing w:before="0" w:after="360" w:line="480" w:lineRule="auto"/>
        <w:ind w:left="1440"/>
        <w:jc w:val="both"/>
      </w:pPr>
      <w:r>
        <w:rPr>
          <w:rFonts w:ascii="Arial" w:eastAsia="Arial" w:hAnsi="Arial" w:cs="Arial"/>
        </w:rPr>
        <w:t>“</w:t>
      </w:r>
      <w:r>
        <w:rPr>
          <w:rFonts w:ascii="Arial" w:eastAsia="Arial" w:hAnsi="Arial" w:cs="Arial"/>
          <w:i/>
          <w:iCs/>
        </w:rPr>
        <w:t>As a starting point, it is important to note that where a justification analysis rests on factual or policy considerations, the party seeking to justify the impugned law – usually the organ of state responsible for its administration – must put material regarding such considerations before the court. Furthermore, ‘[w]</w:t>
      </w:r>
      <w:r>
        <w:rPr>
          <w:rFonts w:ascii="Arial" w:eastAsia="Arial" w:hAnsi="Arial" w:cs="Arial"/>
          <w:i/>
          <w:iCs/>
        </w:rPr>
        <w:t xml:space="preserve">here the state fails to produce </w:t>
      </w:r>
      <w:r>
        <w:rPr>
          <w:rFonts w:ascii="Arial" w:eastAsia="Arial" w:hAnsi="Arial" w:cs="Arial"/>
          <w:i/>
          <w:iCs/>
        </w:rPr>
        <w:t>data and there are cogent objective factors pointing in the opposite direction the state will have failed to establish that the limitation is reasonable and justifiable</w:t>
      </w:r>
      <w:r>
        <w:rPr>
          <w:rFonts w:ascii="Arial" w:eastAsia="Arial" w:hAnsi="Arial" w:cs="Arial"/>
        </w:rPr>
        <w:t>”.</w:t>
      </w:r>
      <w:r>
        <w:rPr>
          <w:rFonts w:ascii="Arial" w:eastAsia="Arial" w:hAnsi="Arial" w:cs="Arial"/>
          <w:color w:val="000000"/>
          <w:sz w:val="21"/>
          <w:szCs w:val="21"/>
          <w:u w:val="none"/>
          <w:vertAlign w:val="superscript"/>
        </w:rPr>
        <w:footnoteReference w:id="27"/>
      </w:r>
    </w:p>
    <w:p>
      <w:pPr>
        <w:keepNext/>
        <w:spacing w:before="0" w:after="360" w:line="480" w:lineRule="auto"/>
        <w:jc w:val="both"/>
      </w:pPr>
      <w:r>
        <w:rPr>
          <w:rFonts w:ascii="Arial" w:eastAsia="Arial" w:hAnsi="Arial" w:cs="Arial"/>
          <w:b/>
          <w:bCs/>
          <w:i/>
          <w:iCs/>
        </w:rPr>
        <w:t>No rational connection between the impugned legislation and the proffered justification</w:t>
      </w:r>
    </w:p>
    <w:p>
      <w:pPr>
        <w:numPr>
          <w:ilvl w:val="0"/>
          <w:numId w:val="10"/>
        </w:numPr>
        <w:pBdr>
          <w:left w:val="none" w:sz="0" w:space="13" w:color="auto"/>
        </w:pBdr>
        <w:spacing w:before="0" w:after="360" w:line="480" w:lineRule="auto"/>
        <w:ind w:left="709" w:right="0" w:hanging="675"/>
        <w:jc w:val="both"/>
        <w:rPr>
          <w:rFonts w:ascii="Arial" w:eastAsia="Arial" w:hAnsi="Arial" w:cs="Arial"/>
        </w:rPr>
      </w:pPr>
      <w:bookmarkStart w:id="0" w:name="_Ref1653534"/>
      <w:r>
        <w:rPr>
          <w:rFonts w:ascii="Arial" w:eastAsia="Arial" w:hAnsi="Arial" w:cs="Arial"/>
        </w:rPr>
        <w:t>In addition, a</w:t>
      </w:r>
      <w:r>
        <w:rPr>
          <w:rFonts w:ascii="Arial" w:eastAsia="Arial" w:hAnsi="Arial" w:cs="Arial"/>
        </w:rPr>
        <w:t xml:space="preserve"> law that limits a fundamental right will only be justifiable under section 36 of the Constitution if there </w:t>
      </w:r>
      <w:r>
        <w:rPr>
          <w:rFonts w:ascii="Arial" w:eastAsia="Arial" w:hAnsi="Arial" w:cs="Arial"/>
        </w:rPr>
        <w:t>is a rational link between th</w:t>
      </w:r>
      <w:r>
        <w:rPr>
          <w:rFonts w:ascii="Arial" w:eastAsia="Arial" w:hAnsi="Arial" w:cs="Arial"/>
        </w:rPr>
        <w:t>at limitation and the</w:t>
      </w:r>
      <w:r>
        <w:rPr>
          <w:rFonts w:ascii="Arial" w:eastAsia="Arial" w:hAnsi="Arial" w:cs="Arial"/>
        </w:rPr>
        <w:t xml:space="preserve"> law</w:t>
      </w:r>
      <w:r>
        <w:rPr>
          <w:rFonts w:ascii="Arial" w:eastAsia="Arial" w:hAnsi="Arial" w:cs="Arial"/>
        </w:rPr>
        <w:t>’s purpose</w:t>
      </w:r>
      <w:r>
        <w:rPr>
          <w:rFonts w:ascii="Arial" w:eastAsia="Arial" w:hAnsi="Arial" w:cs="Arial"/>
        </w:rPr>
        <w:t>.</w:t>
      </w:r>
      <w:r>
        <w:rPr>
          <w:rFonts w:ascii="Arial" w:eastAsia="Arial" w:hAnsi="Arial" w:cs="Arial"/>
          <w:color w:val="000000"/>
          <w:sz w:val="21"/>
          <w:szCs w:val="21"/>
          <w:u w:val="none"/>
          <w:vertAlign w:val="superscript"/>
        </w:rPr>
        <w:footnoteReference w:id="28"/>
      </w:r>
      <w:r>
        <w:rPr>
          <w:rFonts w:ascii="Arial" w:eastAsia="Arial" w:hAnsi="Arial" w:cs="Arial"/>
        </w:rPr>
        <w:t xml:space="preserve"> The question, </w:t>
      </w:r>
      <w:r>
        <w:rPr>
          <w:rFonts w:ascii="Arial" w:eastAsia="Arial" w:hAnsi="Arial" w:cs="Arial"/>
        </w:rPr>
        <w:t>then</w:t>
      </w:r>
      <w:r>
        <w:rPr>
          <w:rFonts w:ascii="Arial" w:eastAsia="Arial" w:hAnsi="Arial" w:cs="Arial"/>
        </w:rPr>
        <w:t>, is whether the impugned law serves its purpose.</w:t>
      </w:r>
      <w:bookmarkEnd w:id="0"/>
    </w:p>
    <w:p>
      <w:pPr>
        <w:numPr>
          <w:ilvl w:val="0"/>
          <w:numId w:val="10"/>
        </w:numPr>
        <w:pBdr>
          <w:left w:val="none" w:sz="0" w:space="13" w:color="auto"/>
        </w:pBdr>
        <w:spacing w:line="480" w:lineRule="auto"/>
        <w:ind w:left="709" w:right="0" w:hanging="675"/>
        <w:jc w:val="both"/>
        <w:rPr>
          <w:rFonts w:ascii="Arial" w:eastAsia="Arial" w:hAnsi="Arial" w:cs="Arial"/>
        </w:rPr>
      </w:pPr>
      <w:r>
        <w:rPr>
          <w:rFonts w:ascii="Arial" w:eastAsia="Arial" w:hAnsi="Arial" w:cs="Arial"/>
        </w:rPr>
        <w:t>T</w:t>
      </w:r>
      <w:r>
        <w:rPr>
          <w:rFonts w:ascii="Arial" w:eastAsia="Arial" w:hAnsi="Arial" w:cs="Arial"/>
        </w:rPr>
        <w:t>he</w:t>
      </w:r>
      <w:r>
        <w:rPr>
          <w:rFonts w:ascii="Arial" w:eastAsia="Arial" w:hAnsi="Arial" w:cs="Arial"/>
        </w:rPr>
        <w:t xml:space="preserve"> impugned legislation </w:t>
      </w:r>
      <w:r>
        <w:rPr>
          <w:rFonts w:ascii="Arial" w:eastAsia="Arial" w:hAnsi="Arial" w:cs="Arial"/>
        </w:rPr>
        <w:t>does not serve</w:t>
      </w:r>
      <w:r>
        <w:rPr>
          <w:rFonts w:ascii="Arial" w:eastAsia="Arial" w:hAnsi="Arial" w:cs="Arial"/>
        </w:rPr>
        <w:t xml:space="preserve"> its ostensible purpose. The respondents have provided no reasons – nor </w:t>
      </w:r>
      <w:r>
        <w:rPr>
          <w:rFonts w:ascii="Arial" w:eastAsia="Arial" w:hAnsi="Arial" w:cs="Arial"/>
        </w:rPr>
        <w:t xml:space="preserve">are any such reasons </w:t>
      </w:r>
      <w:r>
        <w:rPr>
          <w:rFonts w:ascii="Arial" w:eastAsia="Arial" w:hAnsi="Arial" w:cs="Arial"/>
        </w:rPr>
        <w:t>conceivable</w:t>
      </w:r>
      <w:r>
        <w:rPr>
          <w:rFonts w:ascii="Arial" w:eastAsia="Arial" w:hAnsi="Arial" w:cs="Arial"/>
        </w:rPr>
        <w:t> </w:t>
      </w:r>
      <w:r>
        <w:rPr>
          <w:rFonts w:ascii="Arial" w:eastAsia="Arial" w:hAnsi="Arial" w:cs="Arial"/>
        </w:rPr>
        <w:t>–</w:t>
      </w:r>
      <w:r>
        <w:rPr>
          <w:rFonts w:ascii="Arial" w:eastAsia="Arial" w:hAnsi="Arial" w:cs="Arial"/>
        </w:rPr>
        <w:t> </w:t>
      </w:r>
      <w:r>
        <w:rPr>
          <w:rFonts w:ascii="Arial" w:eastAsia="Arial" w:hAnsi="Arial" w:cs="Arial"/>
        </w:rPr>
        <w:t xml:space="preserve">why the health and welfare of human beings </w:t>
      </w:r>
      <w:r>
        <w:rPr>
          <w:rFonts w:ascii="Arial" w:eastAsia="Arial" w:hAnsi="Arial" w:cs="Arial"/>
        </w:rPr>
        <w:t>would be</w:t>
      </w:r>
      <w:r>
        <w:rPr>
          <w:rFonts w:ascii="Arial" w:eastAsia="Arial" w:hAnsi="Arial" w:cs="Arial"/>
        </w:rPr>
        <w:t xml:space="preserve"> served by providing that:</w:t>
      </w:r>
    </w:p>
    <w:p>
      <w:pPr>
        <w:numPr>
          <w:ilvl w:val="1"/>
          <w:numId w:val="10"/>
        </w:numPr>
        <w:spacing w:after="360" w:line="480" w:lineRule="auto"/>
        <w:ind w:left="1418" w:right="0" w:hanging="709"/>
        <w:jc w:val="both"/>
        <w:rPr>
          <w:rFonts w:ascii="Arial" w:eastAsia="Arial" w:hAnsi="Arial" w:cs="Arial"/>
        </w:rPr>
      </w:pPr>
      <w:r>
        <w:rPr>
          <w:rFonts w:ascii="Arial" w:eastAsia="Arial" w:hAnsi="Arial" w:cs="Arial"/>
        </w:rPr>
        <w:t>s</w:t>
      </w:r>
      <w:r>
        <w:rPr>
          <w:rFonts w:ascii="Arial" w:eastAsia="Arial" w:hAnsi="Arial" w:cs="Arial"/>
        </w:rPr>
        <w:t xml:space="preserve">till-born children </w:t>
      </w:r>
      <w:r>
        <w:rPr>
          <w:rFonts w:ascii="Arial" w:eastAsia="Arial" w:hAnsi="Arial" w:cs="Arial"/>
          <w:u w:val="single"/>
        </w:rPr>
        <w:t>must</w:t>
      </w:r>
      <w:r>
        <w:rPr>
          <w:rFonts w:ascii="Arial" w:eastAsia="Arial" w:hAnsi="Arial" w:cs="Arial"/>
        </w:rPr>
        <w:t xml:space="preserve"> be buried</w:t>
      </w:r>
      <w:r>
        <w:rPr>
          <w:rFonts w:ascii="Arial" w:eastAsia="Arial" w:hAnsi="Arial" w:cs="Arial"/>
        </w:rPr>
        <w:t>; but</w:t>
      </w:r>
    </w:p>
    <w:p>
      <w:pPr>
        <w:numPr>
          <w:ilvl w:val="1"/>
          <w:numId w:val="10"/>
        </w:numPr>
        <w:spacing w:after="360" w:line="480" w:lineRule="auto"/>
        <w:ind w:left="1418" w:right="0" w:hanging="709"/>
        <w:jc w:val="both"/>
        <w:rPr>
          <w:rFonts w:ascii="Arial" w:eastAsia="Arial" w:hAnsi="Arial" w:cs="Arial"/>
        </w:rPr>
      </w:pPr>
      <w:r>
        <w:rPr>
          <w:rFonts w:ascii="Arial" w:eastAsia="Arial" w:hAnsi="Arial" w:cs="Arial"/>
        </w:rPr>
        <w:t>o</w:t>
      </w:r>
      <w:r>
        <w:rPr>
          <w:rFonts w:ascii="Arial" w:eastAsia="Arial" w:hAnsi="Arial" w:cs="Arial"/>
        </w:rPr>
        <w:t xml:space="preserve">ther deceased unborn children </w:t>
      </w:r>
      <w:r>
        <w:rPr>
          <w:rFonts w:ascii="Arial" w:eastAsia="Arial" w:hAnsi="Arial" w:cs="Arial"/>
          <w:u w:val="single"/>
        </w:rPr>
        <w:t>may not</w:t>
      </w:r>
      <w:r>
        <w:rPr>
          <w:rFonts w:ascii="Arial" w:eastAsia="Arial" w:hAnsi="Arial" w:cs="Arial"/>
          <w:b/>
          <w:bCs/>
        </w:rPr>
        <w:t xml:space="preserve"> </w:t>
      </w:r>
      <w:r>
        <w:rPr>
          <w:rFonts w:ascii="Arial" w:eastAsia="Arial" w:hAnsi="Arial" w:cs="Arial"/>
        </w:rPr>
        <w:t>be buried.</w:t>
      </w:r>
    </w:p>
    <w:p>
      <w:pPr>
        <w:numPr>
          <w:ilvl w:val="0"/>
          <w:numId w:val="10"/>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Presumably, t</w:t>
      </w:r>
      <w:r>
        <w:rPr>
          <w:rFonts w:ascii="Arial" w:eastAsia="Arial" w:hAnsi="Arial" w:cs="Arial"/>
        </w:rPr>
        <w:t xml:space="preserve">he </w:t>
      </w:r>
      <w:r>
        <w:rPr>
          <w:rFonts w:ascii="Arial" w:eastAsia="Arial" w:hAnsi="Arial" w:cs="Arial"/>
        </w:rPr>
        <w:t>remains</w:t>
      </w:r>
      <w:r>
        <w:rPr>
          <w:rFonts w:ascii="Arial" w:eastAsia="Arial" w:hAnsi="Arial" w:cs="Arial"/>
        </w:rPr>
        <w:t xml:space="preserve"> of a deceased unborn child could </w:t>
      </w:r>
      <w:r>
        <w:rPr>
          <w:rFonts w:ascii="Arial" w:eastAsia="Arial" w:hAnsi="Arial" w:cs="Arial"/>
        </w:rPr>
        <w:t>be</w:t>
      </w:r>
      <w:r>
        <w:rPr>
          <w:rFonts w:ascii="Arial" w:eastAsia="Arial" w:hAnsi="Arial" w:cs="Arial"/>
        </w:rPr>
        <w:t xml:space="preserve"> </w:t>
      </w:r>
      <w:r>
        <w:rPr>
          <w:rFonts w:ascii="Arial" w:eastAsia="Arial" w:hAnsi="Arial" w:cs="Arial"/>
        </w:rPr>
        <w:t>a risk to the health of others</w:t>
      </w:r>
      <w:r>
        <w:rPr>
          <w:rFonts w:ascii="Arial" w:eastAsia="Arial" w:hAnsi="Arial" w:cs="Arial"/>
        </w:rPr>
        <w:t xml:space="preserve">. But this risk does not imply that deceased unborn children </w:t>
      </w:r>
      <w:r>
        <w:rPr>
          <w:rFonts w:ascii="Arial" w:eastAsia="Arial" w:hAnsi="Arial" w:cs="Arial"/>
          <w:u w:val="single"/>
        </w:rPr>
        <w:t>must</w:t>
      </w:r>
      <w:r>
        <w:rPr>
          <w:rFonts w:ascii="Arial" w:eastAsia="Arial" w:hAnsi="Arial" w:cs="Arial"/>
        </w:rPr>
        <w:t xml:space="preserve"> be incinerated with medical waste. The risk could also be met by burying deceased unborn children. Indeed, that is exactly what the impugned legislation says must be done with deceased unborn children that </w:t>
      </w:r>
      <w:r>
        <w:rPr>
          <w:rFonts w:ascii="Arial" w:eastAsia="Arial" w:hAnsi="Arial" w:cs="Arial"/>
        </w:rPr>
        <w:t>are</w:t>
      </w:r>
      <w:r>
        <w:rPr>
          <w:rFonts w:ascii="Arial" w:eastAsia="Arial" w:hAnsi="Arial" w:cs="Arial"/>
        </w:rPr>
        <w:t xml:space="preserve"> still-born.</w:t>
      </w:r>
    </w:p>
    <w:p>
      <w:pPr>
        <w:numPr>
          <w:ilvl w:val="0"/>
          <w:numId w:val="10"/>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It follows that there is no rational connection between the impugned legislation and its ostensible purpose.</w:t>
      </w:r>
    </w:p>
    <w:p>
      <w:pPr>
        <w:numPr>
          <w:ilvl w:val="0"/>
          <w:numId w:val="10"/>
        </w:numPr>
        <w:pBdr>
          <w:left w:val="none" w:sz="0" w:space="13" w:color="auto"/>
        </w:pBdr>
        <w:spacing w:after="360" w:line="480" w:lineRule="auto"/>
        <w:ind w:left="709" w:right="0" w:hanging="675"/>
        <w:jc w:val="both"/>
        <w:rPr>
          <w:rFonts w:ascii="Arial" w:eastAsia="Arial" w:hAnsi="Arial" w:cs="Arial"/>
        </w:rPr>
      </w:pPr>
      <w:bookmarkStart w:id="1" w:name="_Ref1653559"/>
      <w:r>
        <w:rPr>
          <w:rFonts w:ascii="Arial" w:eastAsia="Arial" w:hAnsi="Arial" w:cs="Arial"/>
        </w:rPr>
        <w:t>On the contrary, it is irrational and arbitrary for the impugned legislation to prohibit the burial of deceased unborn children other than children that are still-born.</w:t>
      </w:r>
      <w:bookmarkEnd w:id="1"/>
    </w:p>
    <w:p>
      <w:pPr>
        <w:spacing w:before="0" w:after="360" w:line="480" w:lineRule="auto"/>
        <w:jc w:val="both"/>
      </w:pPr>
      <w:r>
        <w:rPr>
          <w:rFonts w:ascii="Arial" w:eastAsia="Arial" w:hAnsi="Arial" w:cs="Arial"/>
          <w:b/>
          <w:bCs/>
          <w:i/>
          <w:iCs/>
        </w:rPr>
        <w:t>Less restrictive means to achieve the purpose</w:t>
      </w:r>
    </w:p>
    <w:p>
      <w:pPr>
        <w:numPr>
          <w:ilvl w:val="0"/>
          <w:numId w:val="11"/>
        </w:numPr>
        <w:pBdr>
          <w:left w:val="none" w:sz="0" w:space="13" w:color="auto"/>
        </w:pBdr>
        <w:spacing w:before="0" w:after="360" w:line="480" w:lineRule="auto"/>
        <w:ind w:left="709" w:right="0" w:hanging="675"/>
        <w:jc w:val="both"/>
        <w:rPr>
          <w:rFonts w:ascii="Arial" w:eastAsia="Arial" w:hAnsi="Arial" w:cs="Arial"/>
        </w:rPr>
      </w:pPr>
      <w:r>
        <w:rPr>
          <w:rFonts w:ascii="Arial" w:eastAsia="Arial" w:hAnsi="Arial" w:cs="Arial"/>
        </w:rPr>
        <w:t>We submit further that even i</w:t>
      </w:r>
      <w:r>
        <w:rPr>
          <w:rFonts w:ascii="Arial" w:eastAsia="Arial" w:hAnsi="Arial" w:cs="Arial"/>
        </w:rPr>
        <w:t xml:space="preserve">f the impugned legislation </w:t>
      </w:r>
      <w:r>
        <w:rPr>
          <w:rFonts w:ascii="Arial" w:eastAsia="Arial" w:hAnsi="Arial" w:cs="Arial"/>
          <w:u w:val="single"/>
        </w:rPr>
        <w:t>did</w:t>
      </w:r>
      <w:r>
        <w:rPr>
          <w:rFonts w:ascii="Arial" w:eastAsia="Arial" w:hAnsi="Arial" w:cs="Arial"/>
        </w:rPr>
        <w:t xml:space="preserve"> serve its purpose, there would still be less restrictive means for the legislation to serve its purpose.</w:t>
      </w:r>
    </w:p>
    <w:p>
      <w:pPr>
        <w:numPr>
          <w:ilvl w:val="0"/>
          <w:numId w:val="11"/>
        </w:numPr>
        <w:pBdr>
          <w:left w:val="none" w:sz="0" w:space="13" w:color="auto"/>
        </w:pBdr>
        <w:spacing w:line="480" w:lineRule="auto"/>
        <w:ind w:left="709" w:right="0" w:hanging="675"/>
        <w:jc w:val="both"/>
        <w:rPr>
          <w:rFonts w:ascii="Arial" w:eastAsia="Arial" w:hAnsi="Arial" w:cs="Arial"/>
        </w:rPr>
      </w:pPr>
      <w:r>
        <w:rPr>
          <w:rFonts w:ascii="Arial" w:eastAsia="Arial" w:hAnsi="Arial" w:cs="Arial"/>
        </w:rPr>
        <w:t>The legislation could, for instance, provide that:</w:t>
      </w:r>
    </w:p>
    <w:p>
      <w:pPr>
        <w:numPr>
          <w:ilvl w:val="1"/>
          <w:numId w:val="11"/>
        </w:numPr>
        <w:spacing w:after="360" w:line="480" w:lineRule="auto"/>
        <w:ind w:left="1418" w:right="0" w:hanging="709"/>
        <w:jc w:val="both"/>
        <w:rPr>
          <w:rFonts w:ascii="Arial" w:eastAsia="Arial" w:hAnsi="Arial" w:cs="Arial"/>
        </w:rPr>
      </w:pPr>
      <w:r>
        <w:rPr>
          <w:rFonts w:ascii="Arial" w:eastAsia="Arial" w:hAnsi="Arial" w:cs="Arial"/>
        </w:rPr>
        <w:t>a</w:t>
      </w:r>
      <w:r>
        <w:rPr>
          <w:rFonts w:ascii="Arial" w:eastAsia="Arial" w:hAnsi="Arial" w:cs="Arial"/>
        </w:rPr>
        <w:t xml:space="preserve"> deceased unborn child may be buried if a burial is requested by the bereaved parents and the other requirements of BADRA have been met (such </w:t>
      </w:r>
      <w:r>
        <w:rPr>
          <w:rFonts w:ascii="Arial" w:eastAsia="Arial" w:hAnsi="Arial" w:cs="Arial"/>
        </w:rPr>
        <w:t>as the issuing of a burial order</w:t>
      </w:r>
      <w:r>
        <w:rPr>
          <w:rFonts w:ascii="Arial" w:eastAsia="Arial" w:hAnsi="Arial" w:cs="Arial"/>
        </w:rPr>
        <w:t xml:space="preserve"> by an authorise person</w:t>
      </w:r>
      <w:r>
        <w:rPr>
          <w:rFonts w:ascii="Arial" w:eastAsia="Arial" w:hAnsi="Arial" w:cs="Arial"/>
        </w:rPr>
        <w:t>)</w:t>
      </w:r>
      <w:r>
        <w:rPr>
          <w:rFonts w:ascii="Arial" w:eastAsia="Arial" w:hAnsi="Arial" w:cs="Arial"/>
        </w:rPr>
        <w:t>;</w:t>
      </w:r>
    </w:p>
    <w:p>
      <w:pPr>
        <w:numPr>
          <w:ilvl w:val="1"/>
          <w:numId w:val="11"/>
        </w:numPr>
        <w:spacing w:after="360" w:line="480" w:lineRule="auto"/>
        <w:ind w:left="1418" w:right="0" w:hanging="709"/>
        <w:jc w:val="both"/>
        <w:rPr>
          <w:rFonts w:ascii="Arial" w:eastAsia="Arial" w:hAnsi="Arial" w:cs="Arial"/>
        </w:rPr>
      </w:pPr>
      <w:r>
        <w:rPr>
          <w:rFonts w:ascii="Arial" w:eastAsia="Arial" w:hAnsi="Arial" w:cs="Arial"/>
        </w:rPr>
        <w:t>i</w:t>
      </w:r>
      <w:r>
        <w:rPr>
          <w:rFonts w:ascii="Arial" w:eastAsia="Arial" w:hAnsi="Arial" w:cs="Arial"/>
        </w:rPr>
        <w:t xml:space="preserve">f a deceased unborn child is not buried </w:t>
      </w:r>
      <w:r>
        <w:rPr>
          <w:rFonts w:ascii="Arial" w:eastAsia="Arial" w:hAnsi="Arial" w:cs="Arial"/>
        </w:rPr>
        <w:t xml:space="preserve">his or her </w:t>
      </w:r>
      <w:r>
        <w:rPr>
          <w:rFonts w:ascii="Arial" w:eastAsia="Arial" w:hAnsi="Arial" w:cs="Arial"/>
        </w:rPr>
        <w:t xml:space="preserve">remains must be disposed of in terms of the </w:t>
      </w:r>
      <w:r>
        <w:rPr>
          <w:rFonts w:ascii="Arial" w:eastAsia="Arial" w:hAnsi="Arial" w:cs="Arial"/>
        </w:rPr>
        <w:t>standards published under the Standards Act</w:t>
      </w:r>
      <w:r>
        <w:rPr>
          <w:rFonts w:ascii="Arial" w:eastAsia="Arial" w:hAnsi="Arial" w:cs="Arial"/>
        </w:rPr>
        <w:t> </w:t>
      </w:r>
      <w:r>
        <w:rPr>
          <w:rFonts w:ascii="Arial" w:eastAsia="Arial" w:hAnsi="Arial" w:cs="Arial"/>
        </w:rPr>
        <w:t>8 of 2008.</w:t>
      </w:r>
    </w:p>
    <w:p>
      <w:pPr>
        <w:keepNext/>
        <w:spacing w:before="0" w:after="360" w:line="480" w:lineRule="auto"/>
        <w:jc w:val="both"/>
      </w:pPr>
      <w:r>
        <w:rPr>
          <w:rFonts w:ascii="Arial" w:eastAsia="Arial" w:hAnsi="Arial" w:cs="Arial"/>
          <w:b/>
          <w:bCs/>
        </w:rPr>
        <w:t>CONCLUSION</w:t>
      </w:r>
    </w:p>
    <w:p>
      <w:pPr>
        <w:numPr>
          <w:ilvl w:val="0"/>
          <w:numId w:val="12"/>
        </w:numPr>
        <w:pBdr>
          <w:left w:val="none" w:sz="0" w:space="13" w:color="auto"/>
        </w:pBdr>
        <w:spacing w:before="0" w:after="360" w:line="480" w:lineRule="auto"/>
        <w:ind w:left="709" w:right="0" w:hanging="675"/>
        <w:jc w:val="both"/>
        <w:rPr>
          <w:rFonts w:ascii="Arial" w:eastAsia="Arial" w:hAnsi="Arial" w:cs="Arial"/>
        </w:rPr>
      </w:pPr>
      <w:r>
        <w:rPr>
          <w:rFonts w:ascii="Arial" w:eastAsia="Arial" w:hAnsi="Arial" w:cs="Arial"/>
        </w:rPr>
        <w:t xml:space="preserve">The impugned legislation </w:t>
      </w:r>
      <w:r>
        <w:rPr>
          <w:rFonts w:ascii="Arial" w:eastAsia="Arial" w:hAnsi="Arial" w:cs="Arial"/>
        </w:rPr>
        <w:t>infringes</w:t>
      </w:r>
      <w:r>
        <w:rPr>
          <w:rFonts w:ascii="Arial" w:eastAsia="Arial" w:hAnsi="Arial" w:cs="Arial"/>
        </w:rPr>
        <w:t xml:space="preserve"> the Church’s members’ rights to freedom of religion and equality.</w:t>
      </w:r>
    </w:p>
    <w:p>
      <w:pPr>
        <w:numPr>
          <w:ilvl w:val="0"/>
          <w:numId w:val="12"/>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The limitation is not justifiable in terms of section 36 of the Constitution.</w:t>
      </w:r>
    </w:p>
    <w:p>
      <w:pPr>
        <w:numPr>
          <w:ilvl w:val="0"/>
          <w:numId w:val="12"/>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The impugned legislation is therefore inconsistent with the Constitution.</w:t>
      </w:r>
    </w:p>
    <w:p>
      <w:pPr>
        <w:numPr>
          <w:ilvl w:val="0"/>
          <w:numId w:val="12"/>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We submit that t</w:t>
      </w:r>
      <w:r>
        <w:rPr>
          <w:rFonts w:ascii="Arial" w:eastAsia="Arial" w:hAnsi="Arial" w:cs="Arial"/>
        </w:rPr>
        <w:t>he Court must therefore declare the impugned legislation invalid to the extent of its inconsistency.</w:t>
      </w:r>
      <w:r>
        <w:rPr>
          <w:rFonts w:ascii="Arial" w:eastAsia="Arial" w:hAnsi="Arial" w:cs="Arial"/>
          <w:color w:val="000000"/>
          <w:sz w:val="21"/>
          <w:szCs w:val="21"/>
          <w:u w:val="none"/>
          <w:vertAlign w:val="superscript"/>
        </w:rPr>
        <w:footnoteReference w:id="29"/>
      </w:r>
    </w:p>
    <w:p>
      <w:pPr>
        <w:spacing w:before="0" w:after="360" w:line="480" w:lineRule="auto"/>
        <w:jc w:val="both"/>
      </w:pPr>
      <w:r>
        <w:rPr>
          <w:rFonts w:ascii="Arial" w:eastAsia="Arial" w:hAnsi="Arial" w:cs="Arial"/>
          <w:b/>
          <w:bCs/>
        </w:rPr>
        <w:t xml:space="preserve">RESIDUAL OR </w:t>
      </w:r>
      <w:r>
        <w:rPr>
          <w:rFonts w:ascii="Arial" w:eastAsia="Arial" w:hAnsi="Arial" w:cs="Arial"/>
          <w:b/>
          <w:bCs/>
        </w:rPr>
        <w:t>SUBSIDIARY ISSUES</w:t>
      </w:r>
    </w:p>
    <w:p>
      <w:pPr>
        <w:numPr>
          <w:ilvl w:val="0"/>
          <w:numId w:val="13"/>
        </w:numPr>
        <w:pBdr>
          <w:left w:val="none" w:sz="0" w:space="13" w:color="auto"/>
        </w:pBdr>
        <w:spacing w:before="0" w:after="360" w:line="480" w:lineRule="auto"/>
        <w:ind w:left="709" w:right="0" w:hanging="675"/>
        <w:jc w:val="both"/>
        <w:rPr>
          <w:rFonts w:ascii="Arial" w:eastAsia="Arial" w:hAnsi="Arial" w:cs="Arial"/>
        </w:rPr>
      </w:pPr>
      <w:r>
        <w:rPr>
          <w:rFonts w:ascii="Arial" w:eastAsia="Arial" w:hAnsi="Arial" w:cs="Arial"/>
        </w:rPr>
        <w:t>We</w:t>
      </w:r>
      <w:r>
        <w:rPr>
          <w:rFonts w:ascii="Arial" w:eastAsia="Arial" w:hAnsi="Arial" w:cs="Arial"/>
        </w:rPr>
        <w:t xml:space="preserve"> </w:t>
      </w:r>
      <w:r>
        <w:rPr>
          <w:rFonts w:ascii="Arial" w:eastAsia="Arial" w:hAnsi="Arial" w:cs="Arial"/>
        </w:rPr>
        <w:t xml:space="preserve">turn to </w:t>
      </w:r>
      <w:r>
        <w:rPr>
          <w:rFonts w:ascii="Arial" w:eastAsia="Arial" w:hAnsi="Arial" w:cs="Arial"/>
        </w:rPr>
        <w:t>briefly address sever</w:t>
      </w:r>
      <w:r>
        <w:rPr>
          <w:rFonts w:ascii="Arial" w:eastAsia="Arial" w:hAnsi="Arial" w:cs="Arial"/>
        </w:rPr>
        <w:t xml:space="preserve">al </w:t>
      </w:r>
      <w:r>
        <w:rPr>
          <w:rFonts w:ascii="Arial" w:eastAsia="Arial" w:hAnsi="Arial" w:cs="Arial"/>
        </w:rPr>
        <w:t>residual or</w:t>
      </w:r>
      <w:r>
        <w:rPr>
          <w:rFonts w:ascii="Arial" w:eastAsia="Arial" w:hAnsi="Arial" w:cs="Arial"/>
        </w:rPr>
        <w:t xml:space="preserve"> subsidiary issues </w:t>
      </w:r>
      <w:r>
        <w:rPr>
          <w:rFonts w:ascii="Arial" w:eastAsia="Arial" w:hAnsi="Arial" w:cs="Arial"/>
        </w:rPr>
        <w:t>that the respondents have raised in their answering affidavits.</w:t>
      </w:r>
      <w:r>
        <w:rPr>
          <w:rFonts w:ascii="Arial" w:eastAsia="Arial" w:hAnsi="Arial" w:cs="Arial"/>
        </w:rPr>
        <w:t xml:space="preserve"> </w:t>
      </w:r>
    </w:p>
    <w:p>
      <w:pPr>
        <w:numPr>
          <w:ilvl w:val="0"/>
          <w:numId w:val="13"/>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We submit that n</w:t>
      </w:r>
      <w:r>
        <w:rPr>
          <w:rFonts w:ascii="Arial" w:eastAsia="Arial" w:hAnsi="Arial" w:cs="Arial"/>
        </w:rPr>
        <w:t>one of these issues disturb the conclusion reached above.</w:t>
      </w:r>
    </w:p>
    <w:p>
      <w:pPr>
        <w:spacing w:before="0" w:after="360" w:line="480" w:lineRule="auto"/>
        <w:jc w:val="both"/>
      </w:pPr>
      <w:r>
        <w:rPr>
          <w:rFonts w:ascii="Arial" w:eastAsia="Arial" w:hAnsi="Arial" w:cs="Arial"/>
          <w:b/>
          <w:bCs/>
          <w:i/>
          <w:iCs/>
        </w:rPr>
        <w:t>Legal subjectivity</w:t>
      </w:r>
    </w:p>
    <w:p>
      <w:pPr>
        <w:numPr>
          <w:ilvl w:val="0"/>
          <w:numId w:val="14"/>
        </w:numPr>
        <w:pBdr>
          <w:left w:val="none" w:sz="0" w:space="13" w:color="auto"/>
        </w:pBdr>
        <w:spacing w:before="0" w:after="360" w:line="480" w:lineRule="auto"/>
        <w:ind w:left="709" w:right="0" w:hanging="675"/>
        <w:jc w:val="both"/>
        <w:rPr>
          <w:rFonts w:ascii="Arial" w:eastAsia="Arial" w:hAnsi="Arial" w:cs="Arial"/>
        </w:rPr>
      </w:pPr>
      <w:r>
        <w:rPr>
          <w:rFonts w:ascii="Arial" w:eastAsia="Arial" w:hAnsi="Arial" w:cs="Arial"/>
        </w:rPr>
        <w:t>The commencement of legal subjectivity is not at issue in these proceedings. What is at issue in these proceedings is whether the impugned legislation unjustifiably limits bereaved parents’ constitutional rights.</w:t>
      </w:r>
      <w:r>
        <w:rPr>
          <w:rFonts w:ascii="Arial" w:eastAsia="Arial" w:hAnsi="Arial" w:cs="Arial"/>
          <w:color w:val="000000"/>
          <w:sz w:val="21"/>
          <w:szCs w:val="21"/>
          <w:u w:val="none"/>
          <w:vertAlign w:val="superscript"/>
        </w:rPr>
        <w:footnoteReference w:id="30"/>
      </w:r>
    </w:p>
    <w:p>
      <w:pPr>
        <w:keepNext/>
        <w:spacing w:before="0" w:after="360" w:line="480" w:lineRule="auto"/>
        <w:jc w:val="both"/>
      </w:pPr>
      <w:r>
        <w:rPr>
          <w:rFonts w:ascii="Arial" w:eastAsia="Arial" w:hAnsi="Arial" w:cs="Arial"/>
          <w:b/>
          <w:bCs/>
          <w:i/>
          <w:iCs/>
        </w:rPr>
        <w:t>Viability</w:t>
      </w:r>
    </w:p>
    <w:p>
      <w:pPr>
        <w:numPr>
          <w:ilvl w:val="0"/>
          <w:numId w:val="15"/>
        </w:numPr>
        <w:pBdr>
          <w:left w:val="none" w:sz="0" w:space="13" w:color="auto"/>
        </w:pBdr>
        <w:spacing w:before="0" w:after="360" w:line="480" w:lineRule="auto"/>
        <w:ind w:left="709" w:right="0" w:hanging="675"/>
        <w:jc w:val="both"/>
        <w:rPr>
          <w:rFonts w:ascii="Arial" w:eastAsia="Arial" w:hAnsi="Arial" w:cs="Arial"/>
        </w:rPr>
      </w:pPr>
      <w:r>
        <w:rPr>
          <w:rFonts w:ascii="Arial" w:eastAsia="Arial" w:hAnsi="Arial" w:cs="Arial"/>
        </w:rPr>
        <w:t xml:space="preserve">The age of viability is also not at issue in these proceedings. What is at issue in these proceedings is whether viability – whenever that may be – </w:t>
      </w:r>
      <w:r>
        <w:rPr>
          <w:rFonts w:ascii="Arial" w:eastAsia="Arial" w:hAnsi="Arial" w:cs="Arial"/>
        </w:rPr>
        <w:t>should determine</w:t>
      </w:r>
      <w:r>
        <w:rPr>
          <w:rFonts w:ascii="Arial" w:eastAsia="Arial" w:hAnsi="Arial" w:cs="Arial"/>
        </w:rPr>
        <w:t xml:space="preserve"> whether deceased unborn children may be </w:t>
      </w:r>
      <w:r>
        <w:rPr>
          <w:rFonts w:ascii="Arial" w:eastAsia="Arial" w:hAnsi="Arial" w:cs="Arial"/>
        </w:rPr>
        <w:t>buried</w:t>
      </w:r>
      <w:r>
        <w:rPr>
          <w:rFonts w:ascii="Arial" w:eastAsia="Arial" w:hAnsi="Arial" w:cs="Arial"/>
        </w:rPr>
        <w:t>.</w:t>
      </w:r>
    </w:p>
    <w:p>
      <w:pPr>
        <w:numPr>
          <w:ilvl w:val="0"/>
          <w:numId w:val="15"/>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The Church submits that it </w:t>
      </w:r>
      <w:r>
        <w:rPr>
          <w:rFonts w:ascii="Arial" w:eastAsia="Arial" w:hAnsi="Arial" w:cs="Arial"/>
        </w:rPr>
        <w:t>should not, given that</w:t>
      </w:r>
      <w:r>
        <w:rPr>
          <w:rFonts w:ascii="Arial" w:eastAsia="Arial" w:hAnsi="Arial" w:cs="Arial"/>
        </w:rPr>
        <w:t xml:space="preserve"> viability </w:t>
      </w:r>
      <w:r>
        <w:rPr>
          <w:rFonts w:ascii="Arial" w:eastAsia="Arial" w:hAnsi="Arial" w:cs="Arial"/>
        </w:rPr>
        <w:t>is an arbitrary and unjustifiable standard.</w:t>
      </w:r>
    </w:p>
    <w:p>
      <w:pPr>
        <w:numPr>
          <w:ilvl w:val="0"/>
          <w:numId w:val="15"/>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Viability</w:t>
      </w:r>
      <w:r>
        <w:rPr>
          <w:rFonts w:ascii="Arial" w:eastAsia="Arial" w:hAnsi="Arial" w:cs="Arial"/>
        </w:rPr>
        <w:t xml:space="preserve"> is also not the standard that BADRA uses. BADRA does not only prohibit the burial of unborn children who die </w:t>
      </w:r>
      <w:r>
        <w:rPr>
          <w:rFonts w:ascii="Arial" w:eastAsia="Arial" w:hAnsi="Arial" w:cs="Arial"/>
          <w:u w:val="single"/>
        </w:rPr>
        <w:t>before</w:t>
      </w:r>
      <w:r>
        <w:rPr>
          <w:rFonts w:ascii="Arial" w:eastAsia="Arial" w:hAnsi="Arial" w:cs="Arial"/>
        </w:rPr>
        <w:t xml:space="preserve"> </w:t>
      </w:r>
      <w:r>
        <w:rPr>
          <w:rFonts w:ascii="Arial" w:eastAsia="Arial" w:hAnsi="Arial" w:cs="Arial"/>
        </w:rPr>
        <w:t xml:space="preserve">reaching viability. It also prohibits the burial of deceased unborn children who, </w:t>
      </w:r>
      <w:r>
        <w:rPr>
          <w:rFonts w:ascii="Arial" w:eastAsia="Arial" w:hAnsi="Arial" w:cs="Arial"/>
          <w:u w:val="single"/>
        </w:rPr>
        <w:t>after</w:t>
      </w:r>
      <w:r>
        <w:rPr>
          <w:rFonts w:ascii="Arial" w:eastAsia="Arial" w:hAnsi="Arial" w:cs="Arial"/>
        </w:rPr>
        <w:t xml:space="preserve"> having reached viability, are removed from the womb by a medically induced termination of pregnancy.</w:t>
      </w:r>
    </w:p>
    <w:p>
      <w:pPr>
        <w:numPr>
          <w:ilvl w:val="0"/>
          <w:numId w:val="15"/>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It follows that BARDA contains </w:t>
      </w:r>
      <w:r>
        <w:rPr>
          <w:rFonts w:ascii="Arial" w:eastAsia="Arial" w:hAnsi="Arial" w:cs="Arial"/>
          <w:u w:val="single"/>
        </w:rPr>
        <w:t>no</w:t>
      </w:r>
      <w:r>
        <w:rPr>
          <w:rFonts w:ascii="Arial" w:eastAsia="Arial" w:hAnsi="Arial" w:cs="Arial"/>
        </w:rPr>
        <w:t xml:space="preserve"> standard. Its burial regime is </w:t>
      </w:r>
      <w:r>
        <w:rPr>
          <w:rFonts w:ascii="Arial" w:eastAsia="Arial" w:hAnsi="Arial" w:cs="Arial"/>
        </w:rPr>
        <w:t xml:space="preserve">wholly </w:t>
      </w:r>
      <w:r>
        <w:rPr>
          <w:rFonts w:ascii="Arial" w:eastAsia="Arial" w:hAnsi="Arial" w:cs="Arial"/>
        </w:rPr>
        <w:t>arbitrary.</w:t>
      </w:r>
    </w:p>
    <w:p>
      <w:pPr>
        <w:spacing w:before="0" w:after="360" w:line="480" w:lineRule="auto"/>
        <w:jc w:val="both"/>
      </w:pPr>
    </w:p>
    <w:p>
      <w:pPr>
        <w:spacing w:before="0" w:after="360" w:line="480" w:lineRule="auto"/>
        <w:jc w:val="both"/>
      </w:pPr>
    </w:p>
    <w:p>
      <w:pPr>
        <w:spacing w:before="0" w:after="360" w:line="480" w:lineRule="auto"/>
        <w:jc w:val="both"/>
      </w:pPr>
      <w:r>
        <w:rPr>
          <w:rFonts w:ascii="Arial" w:eastAsia="Arial" w:hAnsi="Arial" w:cs="Arial"/>
          <w:b/>
          <w:bCs/>
          <w:i/>
          <w:iCs/>
        </w:rPr>
        <w:t>Law and morality</w:t>
      </w:r>
    </w:p>
    <w:p>
      <w:pPr>
        <w:numPr>
          <w:ilvl w:val="0"/>
          <w:numId w:val="16"/>
        </w:numPr>
        <w:pBdr>
          <w:left w:val="none" w:sz="0" w:space="13" w:color="auto"/>
        </w:pBdr>
        <w:spacing w:before="0" w:after="360" w:line="480" w:lineRule="auto"/>
        <w:ind w:left="709" w:right="0" w:hanging="675"/>
        <w:jc w:val="both"/>
        <w:rPr>
          <w:rFonts w:ascii="Arial" w:eastAsia="Arial" w:hAnsi="Arial" w:cs="Arial"/>
        </w:rPr>
      </w:pPr>
      <w:r>
        <w:rPr>
          <w:rFonts w:ascii="Arial" w:eastAsia="Arial" w:hAnsi="Arial" w:cs="Arial"/>
        </w:rPr>
        <w:t xml:space="preserve">The respondents aver that this case </w:t>
      </w:r>
      <w:r>
        <w:rPr>
          <w:rFonts w:ascii="Arial" w:eastAsia="Arial" w:hAnsi="Arial" w:cs="Arial"/>
        </w:rPr>
        <w:t>turns on</w:t>
      </w:r>
      <w:r>
        <w:rPr>
          <w:rFonts w:ascii="Arial" w:eastAsia="Arial" w:hAnsi="Arial" w:cs="Arial"/>
        </w:rPr>
        <w:t xml:space="preserve"> non-justiciable moral issues.</w:t>
      </w:r>
      <w:r>
        <w:rPr>
          <w:rFonts w:ascii="Arial" w:eastAsia="Arial" w:hAnsi="Arial" w:cs="Arial"/>
          <w:color w:val="000000"/>
          <w:sz w:val="21"/>
          <w:szCs w:val="21"/>
          <w:u w:val="none"/>
          <w:vertAlign w:val="superscript"/>
        </w:rPr>
        <w:footnoteReference w:id="31"/>
      </w:r>
    </w:p>
    <w:p>
      <w:pPr>
        <w:numPr>
          <w:ilvl w:val="0"/>
          <w:numId w:val="1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The respondents are incorrect. </w:t>
      </w:r>
    </w:p>
    <w:p>
      <w:pPr>
        <w:numPr>
          <w:ilvl w:val="0"/>
          <w:numId w:val="1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While the case </w:t>
      </w:r>
      <w:r>
        <w:rPr>
          <w:rFonts w:ascii="Arial" w:eastAsia="Arial" w:hAnsi="Arial" w:cs="Arial"/>
        </w:rPr>
        <w:t xml:space="preserve">may have </w:t>
      </w:r>
      <w:r>
        <w:rPr>
          <w:rFonts w:ascii="Arial" w:eastAsia="Arial" w:hAnsi="Arial" w:cs="Arial"/>
        </w:rPr>
        <w:t>moral issues</w:t>
      </w:r>
      <w:r>
        <w:rPr>
          <w:rFonts w:ascii="Arial" w:eastAsia="Arial" w:hAnsi="Arial" w:cs="Arial"/>
        </w:rPr>
        <w:t xml:space="preserve"> as its subject matter</w:t>
      </w:r>
      <w:r>
        <w:rPr>
          <w:rFonts w:ascii="Arial" w:eastAsia="Arial" w:hAnsi="Arial" w:cs="Arial"/>
        </w:rPr>
        <w:t>, it is still justiciable.</w:t>
      </w:r>
    </w:p>
    <w:p>
      <w:pPr>
        <w:numPr>
          <w:ilvl w:val="0"/>
          <w:numId w:val="1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This is because o</w:t>
      </w:r>
      <w:r>
        <w:rPr>
          <w:rFonts w:ascii="Arial" w:eastAsia="Arial" w:hAnsi="Arial" w:cs="Arial"/>
        </w:rPr>
        <w:t xml:space="preserve">ur courts do decide cases </w:t>
      </w:r>
      <w:r>
        <w:rPr>
          <w:rFonts w:ascii="Arial" w:eastAsia="Arial" w:hAnsi="Arial" w:cs="Arial"/>
        </w:rPr>
        <w:t>that may have</w:t>
      </w:r>
      <w:r>
        <w:rPr>
          <w:rFonts w:ascii="Arial" w:eastAsia="Arial" w:hAnsi="Arial" w:cs="Arial"/>
        </w:rPr>
        <w:t xml:space="preserve"> profound moral implications</w:t>
      </w:r>
      <w:r>
        <w:rPr>
          <w:rFonts w:ascii="Arial" w:eastAsia="Arial" w:hAnsi="Arial" w:cs="Arial"/>
        </w:rPr>
        <w:t xml:space="preserve"> for some</w:t>
      </w:r>
      <w:r>
        <w:rPr>
          <w:rFonts w:ascii="Arial" w:eastAsia="Arial" w:hAnsi="Arial" w:cs="Arial"/>
        </w:rPr>
        <w:t>.</w:t>
      </w:r>
      <w:r>
        <w:rPr>
          <w:rFonts w:ascii="Arial" w:eastAsia="Arial" w:hAnsi="Arial" w:cs="Arial"/>
          <w:color w:val="000000"/>
          <w:sz w:val="21"/>
          <w:szCs w:val="21"/>
          <w:u w:val="none"/>
          <w:vertAlign w:val="superscript"/>
        </w:rPr>
        <w:footnoteReference w:id="32"/>
      </w:r>
      <w:r>
        <w:rPr>
          <w:rFonts w:ascii="Arial" w:eastAsia="Arial" w:hAnsi="Arial" w:cs="Arial"/>
        </w:rPr>
        <w:t xml:space="preserve"> </w:t>
      </w:r>
    </w:p>
    <w:p>
      <w:pPr>
        <w:numPr>
          <w:ilvl w:val="0"/>
          <w:numId w:val="16"/>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If the courts refused to do so, </w:t>
      </w:r>
      <w:r>
        <w:rPr>
          <w:rFonts w:ascii="Arial" w:eastAsia="Arial" w:hAnsi="Arial" w:cs="Arial"/>
        </w:rPr>
        <w:t>fundamental human rights</w:t>
      </w:r>
      <w:r>
        <w:rPr>
          <w:rFonts w:ascii="Arial" w:eastAsia="Arial" w:hAnsi="Arial" w:cs="Arial"/>
        </w:rPr>
        <w:t xml:space="preserve"> such as the right to freedom of religion and the right not to be discriminated against </w:t>
      </w:r>
      <w:r>
        <w:rPr>
          <w:rFonts w:ascii="Arial" w:eastAsia="Arial" w:hAnsi="Arial" w:cs="Arial"/>
        </w:rPr>
        <w:t>on the basis of</w:t>
      </w:r>
      <w:r>
        <w:rPr>
          <w:rFonts w:ascii="Arial" w:eastAsia="Arial" w:hAnsi="Arial" w:cs="Arial"/>
        </w:rPr>
        <w:t xml:space="preserve"> religion</w:t>
      </w:r>
      <w:r>
        <w:rPr>
          <w:rFonts w:ascii="Arial" w:eastAsia="Arial" w:hAnsi="Arial" w:cs="Arial"/>
        </w:rPr>
        <w:t xml:space="preserve"> would be</w:t>
      </w:r>
      <w:r>
        <w:rPr>
          <w:rFonts w:ascii="Arial" w:eastAsia="Arial" w:hAnsi="Arial" w:cs="Arial"/>
        </w:rPr>
        <w:t xml:space="preserve"> unenforceable and may be</w:t>
      </w:r>
      <w:r>
        <w:rPr>
          <w:rFonts w:ascii="Arial" w:eastAsia="Arial" w:hAnsi="Arial" w:cs="Arial"/>
        </w:rPr>
        <w:t xml:space="preserve"> </w:t>
      </w:r>
      <w:r>
        <w:rPr>
          <w:rFonts w:ascii="Arial" w:eastAsia="Arial" w:hAnsi="Arial" w:cs="Arial"/>
        </w:rPr>
        <w:t>infringed by the state with impunity</w:t>
      </w:r>
      <w:r>
        <w:rPr>
          <w:rFonts w:ascii="Arial" w:eastAsia="Arial" w:hAnsi="Arial" w:cs="Arial"/>
        </w:rPr>
        <w:t>.</w:t>
      </w:r>
    </w:p>
    <w:p>
      <w:pPr>
        <w:keepNext/>
        <w:spacing w:before="0" w:after="360" w:line="480" w:lineRule="auto"/>
        <w:jc w:val="both"/>
      </w:pPr>
      <w:r>
        <w:rPr>
          <w:rFonts w:ascii="Arial" w:eastAsia="Arial" w:hAnsi="Arial" w:cs="Arial"/>
          <w:b/>
          <w:bCs/>
          <w:i/>
          <w:iCs/>
        </w:rPr>
        <w:t>Separation of powers</w:t>
      </w:r>
    </w:p>
    <w:p>
      <w:pPr>
        <w:numPr>
          <w:ilvl w:val="0"/>
          <w:numId w:val="17"/>
        </w:numPr>
        <w:pBdr>
          <w:left w:val="none" w:sz="0" w:space="13" w:color="auto"/>
        </w:pBdr>
        <w:spacing w:before="0" w:after="360" w:line="480" w:lineRule="auto"/>
        <w:ind w:left="709" w:right="0" w:hanging="675"/>
        <w:jc w:val="both"/>
        <w:rPr>
          <w:rFonts w:ascii="Arial" w:eastAsia="Arial" w:hAnsi="Arial" w:cs="Arial"/>
        </w:rPr>
      </w:pPr>
      <w:r>
        <w:rPr>
          <w:rFonts w:ascii="Arial" w:eastAsia="Arial" w:hAnsi="Arial" w:cs="Arial"/>
        </w:rPr>
        <w:t xml:space="preserve">The applicants ask this court to declare the impugned legislation invalid. </w:t>
      </w:r>
    </w:p>
    <w:p>
      <w:pPr>
        <w:numPr>
          <w:ilvl w:val="0"/>
          <w:numId w:val="17"/>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The Constitution empowers the Court to make such an order.</w:t>
      </w:r>
      <w:r>
        <w:rPr>
          <w:rFonts w:ascii="Arial" w:eastAsia="Arial" w:hAnsi="Arial" w:cs="Arial"/>
          <w:color w:val="000000"/>
          <w:sz w:val="21"/>
          <w:szCs w:val="21"/>
          <w:u w:val="none"/>
          <w:vertAlign w:val="superscript"/>
        </w:rPr>
        <w:footnoteReference w:id="33"/>
      </w:r>
      <w:r>
        <w:rPr>
          <w:rFonts w:ascii="Arial" w:eastAsia="Arial" w:hAnsi="Arial" w:cs="Arial"/>
        </w:rPr>
        <w:t xml:space="preserve"> </w:t>
      </w:r>
      <w:r>
        <w:rPr>
          <w:rFonts w:ascii="Arial" w:eastAsia="Arial" w:hAnsi="Arial" w:cs="Arial"/>
        </w:rPr>
        <w:t>The Constitution, indeed,</w:t>
      </w:r>
      <w:r>
        <w:rPr>
          <w:rFonts w:ascii="Arial" w:eastAsia="Arial" w:hAnsi="Arial" w:cs="Arial"/>
        </w:rPr>
        <w:t xml:space="preserve"> obliges the Court to make such an order if it finds that the impugned legislation is inconsistent with the Constitution.</w:t>
      </w:r>
      <w:r>
        <w:rPr>
          <w:rFonts w:ascii="Arial" w:eastAsia="Arial" w:hAnsi="Arial" w:cs="Arial"/>
          <w:color w:val="000000"/>
          <w:sz w:val="21"/>
          <w:szCs w:val="21"/>
          <w:u w:val="none"/>
          <w:vertAlign w:val="superscript"/>
        </w:rPr>
        <w:footnoteReference w:id="34"/>
      </w:r>
    </w:p>
    <w:p>
      <w:pPr>
        <w:numPr>
          <w:ilvl w:val="0"/>
          <w:numId w:val="17"/>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 xml:space="preserve">The applicants </w:t>
      </w:r>
      <w:r>
        <w:rPr>
          <w:rFonts w:ascii="Arial" w:eastAsia="Arial" w:hAnsi="Arial" w:cs="Arial"/>
        </w:rPr>
        <w:t>also ask the Court to suspend the declaration of invalidity in order to give Parliament the opportunity to remedy the defect</w:t>
      </w:r>
      <w:r>
        <w:rPr>
          <w:rFonts w:ascii="Arial" w:eastAsia="Arial" w:hAnsi="Arial" w:cs="Arial"/>
        </w:rPr>
        <w:t xml:space="preserve"> in a manner that Parliament determines is most appropriate</w:t>
      </w:r>
      <w:r>
        <w:rPr>
          <w:rFonts w:ascii="Arial" w:eastAsia="Arial" w:hAnsi="Arial" w:cs="Arial"/>
        </w:rPr>
        <w:t>.</w:t>
      </w:r>
    </w:p>
    <w:p>
      <w:pPr>
        <w:numPr>
          <w:ilvl w:val="0"/>
          <w:numId w:val="17"/>
        </w:numPr>
        <w:pBdr>
          <w:left w:val="none" w:sz="0" w:space="13" w:color="auto"/>
        </w:pBdr>
        <w:spacing w:after="360" w:line="480" w:lineRule="auto"/>
        <w:ind w:left="709" w:right="0" w:hanging="675"/>
        <w:jc w:val="both"/>
        <w:rPr>
          <w:rFonts w:ascii="Arial" w:eastAsia="Arial" w:hAnsi="Arial" w:cs="Arial"/>
        </w:rPr>
      </w:pPr>
      <w:r>
        <w:rPr>
          <w:rFonts w:ascii="Arial" w:eastAsia="Arial" w:hAnsi="Arial" w:cs="Arial"/>
        </w:rPr>
        <w:t>It follows that the application does not violate the doctrine of separation of powers.</w:t>
      </w:r>
      <w:r>
        <w:rPr>
          <w:rFonts w:ascii="Arial" w:eastAsia="Arial" w:hAnsi="Arial" w:cs="Arial"/>
        </w:rPr>
        <w:t xml:space="preserve"> The application respects and coheres with the doctrine.</w:t>
      </w:r>
    </w:p>
    <w:p>
      <w:pPr>
        <w:spacing w:before="0" w:after="360" w:line="480" w:lineRule="auto"/>
        <w:jc w:val="both"/>
      </w:pPr>
    </w:p>
    <w:p>
      <w:pPr>
        <w:spacing w:before="0" w:after="360"/>
        <w:jc w:val="right"/>
      </w:pPr>
      <w:r>
        <w:rPr>
          <w:rFonts w:ascii="Arial" w:eastAsia="Arial" w:hAnsi="Arial" w:cs="Arial"/>
          <w:b/>
          <w:bCs/>
        </w:rPr>
        <w:t>AJ D’OLIVEIRA</w:t>
      </w:r>
    </w:p>
    <w:p>
      <w:pPr>
        <w:spacing w:before="0" w:after="360"/>
        <w:jc w:val="right"/>
      </w:pPr>
      <w:r>
        <w:rPr>
          <w:rFonts w:ascii="Arial" w:eastAsia="Arial" w:hAnsi="Arial" w:cs="Arial"/>
          <w:b/>
          <w:bCs/>
        </w:rPr>
        <w:t>H W VAN EEDTVELDT</w:t>
      </w:r>
    </w:p>
    <w:p>
      <w:pPr>
        <w:spacing w:before="0" w:after="360"/>
        <w:jc w:val="right"/>
      </w:pPr>
      <w:r>
        <w:rPr>
          <w:rFonts w:ascii="Arial" w:eastAsia="Arial" w:hAnsi="Arial" w:cs="Arial"/>
        </w:rPr>
        <w:t>Chambers, Sandton</w:t>
      </w:r>
    </w:p>
    <w:p>
      <w:pPr>
        <w:spacing w:before="0" w:after="360"/>
        <w:jc w:val="right"/>
      </w:pPr>
      <w:r>
        <w:rPr>
          <w:rFonts w:ascii="Arial" w:eastAsia="Arial" w:hAnsi="Arial" w:cs="Arial"/>
        </w:rPr>
        <w:t>22</w:t>
      </w:r>
      <w:r>
        <w:rPr>
          <w:rFonts w:ascii="Arial" w:eastAsia="Arial" w:hAnsi="Arial" w:cs="Arial"/>
        </w:rPr>
        <w:t> </w:t>
      </w:r>
      <w:r>
        <w:rPr>
          <w:rFonts w:ascii="Arial" w:eastAsia="Arial" w:hAnsi="Arial" w:cs="Arial"/>
        </w:rPr>
        <w:t>February</w:t>
      </w:r>
      <w:r>
        <w:rPr>
          <w:rFonts w:ascii="Arial" w:eastAsia="Arial" w:hAnsi="Arial" w:cs="Arial"/>
        </w:rPr>
        <w:t> </w:t>
      </w:r>
      <w:r>
        <w:rPr>
          <w:rFonts w:ascii="Arial" w:eastAsia="Arial" w:hAnsi="Arial" w:cs="Arial"/>
        </w:rPr>
        <w:t>2019</w:t>
      </w:r>
    </w:p>
    <w:sectPr>
      <w:type w:val="nextPage"/>
      <w:pgSz w:w="11906" w:h="16838"/>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The Church concurs with the submissions in the first applicant’s heads of argument. </w:t>
      </w:r>
      <w:r>
        <w:rPr>
          <w:rFonts w:ascii="Arial" w:eastAsia="Arial" w:hAnsi="Arial" w:cs="Arial"/>
          <w:sz w:val="21"/>
          <w:szCs w:val="21"/>
        </w:rPr>
        <w:t>We</w:t>
      </w:r>
      <w:r>
        <w:rPr>
          <w:rFonts w:ascii="Arial" w:eastAsia="Arial" w:hAnsi="Arial" w:cs="Arial"/>
          <w:sz w:val="21"/>
          <w:szCs w:val="21"/>
        </w:rPr>
        <w:t xml:space="preserve"> will not </w:t>
      </w:r>
      <w:r>
        <w:rPr>
          <w:rFonts w:ascii="Arial" w:eastAsia="Arial" w:hAnsi="Arial" w:cs="Arial"/>
          <w:sz w:val="21"/>
          <w:szCs w:val="21"/>
        </w:rPr>
        <w:t>repeat those submissions in these heads of argument.</w:t>
      </w:r>
    </w:p>
  </w:footnote>
  <w:footnote w:id="1">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Section 15(1) of the Constitution</w:t>
      </w:r>
      <w:r>
        <w:rPr>
          <w:rFonts w:ascii="Arial" w:eastAsia="Arial" w:hAnsi="Arial" w:cs="Arial"/>
          <w:sz w:val="21"/>
          <w:szCs w:val="21"/>
        </w:rPr>
        <w:t>.</w:t>
      </w:r>
    </w:p>
  </w:footnote>
  <w:footnote w:id="2">
    <w:p>
      <w:pPr>
        <w:tabs>
          <w:tab w:val="left" w:pos="426"/>
        </w:tabs>
        <w:spacing w:before="0" w:after="120"/>
        <w:ind w:left="426" w:hanging="426"/>
        <w:rPr>
          <w:rFonts w:ascii="Arial" w:eastAsia="Arial" w:hAnsi="Arial" w:cs="Arial"/>
          <w:color w:val="000000"/>
          <w:sz w:val="24"/>
          <w:szCs w:val="24"/>
          <w:vertAlign w:val="superscript"/>
        </w:rPr>
      </w:pPr>
      <w:r>
        <w:rPr>
          <w:rStyle w:val="FootnoteReference"/>
          <w:rFonts w:ascii="Arial" w:eastAsia="Arial" w:hAnsi="Arial" w:cs="Arial"/>
          <w:color w:val="000000"/>
          <w:sz w:val="24"/>
          <w:szCs w:val="24"/>
          <w:u w:val="none"/>
          <w:vertAlign w:val="superscript"/>
        </w:rPr>
        <w:footnoteRef/>
      </w:r>
      <w:r>
        <w:rPr>
          <w:rFonts w:ascii="Arial" w:eastAsia="Arial" w:hAnsi="Arial" w:cs="Arial"/>
        </w:rPr>
        <w:t xml:space="preserve"> </w:t>
      </w:r>
      <w:r>
        <w:rPr>
          <w:rFonts w:ascii="Arial" w:eastAsia="Arial" w:hAnsi="Arial" w:cs="Arial"/>
          <w:sz w:val="24"/>
          <w:szCs w:val="24"/>
        </w:rPr>
        <w:tab/>
      </w:r>
      <w:r>
        <w:rPr>
          <w:rFonts w:ascii="Arial" w:eastAsia="Arial" w:hAnsi="Arial" w:cs="Arial"/>
          <w:i/>
          <w:iCs/>
        </w:rPr>
        <w:t xml:space="preserve">Solberg </w:t>
      </w:r>
      <w:r>
        <w:rPr>
          <w:rFonts w:ascii="Arial" w:eastAsia="Arial" w:hAnsi="Arial" w:cs="Arial"/>
        </w:rPr>
        <w:t>para 92 (per Chaskalson P);</w:t>
      </w:r>
      <w:r>
        <w:rPr>
          <w:rFonts w:ascii="Arial" w:eastAsia="Arial" w:hAnsi="Arial" w:cs="Arial"/>
          <w:i/>
          <w:iCs/>
        </w:rPr>
        <w:t xml:space="preserve"> Christian Education South Africa v Minster of Education </w:t>
      </w:r>
      <w:r>
        <w:rPr>
          <w:rFonts w:ascii="Arial" w:eastAsia="Arial" w:hAnsi="Arial" w:cs="Arial"/>
        </w:rPr>
        <w:t>2000 (4) SA 757 (CC) para 18 (“</w:t>
      </w:r>
      <w:r>
        <w:rPr>
          <w:rFonts w:ascii="Arial" w:eastAsia="Arial" w:hAnsi="Arial" w:cs="Arial"/>
          <w:i/>
          <w:iCs/>
        </w:rPr>
        <w:t>Christian Education</w:t>
      </w:r>
      <w:r>
        <w:rPr>
          <w:rFonts w:ascii="Arial" w:eastAsia="Arial" w:hAnsi="Arial" w:cs="Arial"/>
        </w:rPr>
        <w:t>”); and</w:t>
      </w:r>
      <w:r>
        <w:rPr>
          <w:rFonts w:ascii="Arial" w:eastAsia="Arial" w:hAnsi="Arial" w:cs="Arial"/>
          <w:i/>
          <w:iCs/>
        </w:rPr>
        <w:t xml:space="preserve"> Prince v President, Cape Law Society, And Others </w:t>
      </w:r>
      <w:r>
        <w:rPr>
          <w:rFonts w:ascii="Arial" w:eastAsia="Arial" w:hAnsi="Arial" w:cs="Arial"/>
        </w:rPr>
        <w:t>2001 (2) SA 388 (CC)</w:t>
      </w:r>
      <w:r>
        <w:rPr>
          <w:rFonts w:ascii="Arial" w:eastAsia="Arial" w:hAnsi="Arial" w:cs="Arial"/>
          <w:i/>
          <w:iCs/>
        </w:rPr>
        <w:t xml:space="preserve"> </w:t>
      </w:r>
      <w:r>
        <w:rPr>
          <w:rFonts w:ascii="Arial" w:eastAsia="Arial" w:hAnsi="Arial" w:cs="Arial"/>
        </w:rPr>
        <w:t>para 38 (“</w:t>
      </w:r>
      <w:r>
        <w:rPr>
          <w:rFonts w:ascii="Arial" w:eastAsia="Arial" w:hAnsi="Arial" w:cs="Arial"/>
          <w:i/>
          <w:iCs/>
        </w:rPr>
        <w:t>Prince</w:t>
      </w:r>
      <w:r>
        <w:rPr>
          <w:rFonts w:ascii="Arial" w:eastAsia="Arial" w:hAnsi="Arial" w:cs="Arial"/>
        </w:rPr>
        <w:t>”)</w:t>
      </w:r>
    </w:p>
  </w:footnote>
  <w:footnote w:id="3">
    <w:p>
      <w:pPr>
        <w:tabs>
          <w:tab w:val="left" w:pos="426"/>
        </w:tabs>
        <w:spacing w:before="0" w:after="120"/>
        <w:ind w:left="426" w:hanging="426"/>
        <w:rPr>
          <w:rFonts w:ascii="Arial" w:eastAsia="Arial" w:hAnsi="Arial" w:cs="Arial"/>
          <w:color w:val="000000"/>
          <w:sz w:val="24"/>
          <w:szCs w:val="24"/>
          <w:vertAlign w:val="superscript"/>
        </w:rPr>
      </w:pPr>
      <w:r>
        <w:rPr>
          <w:rStyle w:val="FootnoteReference"/>
          <w:rFonts w:ascii="Arial" w:eastAsia="Arial" w:hAnsi="Arial" w:cs="Arial"/>
          <w:color w:val="000000"/>
          <w:sz w:val="24"/>
          <w:szCs w:val="24"/>
          <w:u w:val="none"/>
          <w:vertAlign w:val="superscript"/>
        </w:rPr>
        <w:footnoteRef/>
      </w:r>
      <w:r>
        <w:rPr>
          <w:rFonts w:ascii="Arial" w:eastAsia="Arial" w:hAnsi="Arial" w:cs="Arial"/>
        </w:rPr>
        <w:t xml:space="preserve"> </w:t>
      </w:r>
      <w:r>
        <w:rPr>
          <w:rFonts w:ascii="Arial" w:eastAsia="Arial" w:hAnsi="Arial" w:cs="Arial"/>
          <w:sz w:val="24"/>
          <w:szCs w:val="24"/>
        </w:rPr>
        <w:tab/>
      </w:r>
      <w:r>
        <w:rPr>
          <w:rFonts w:ascii="Arial" w:eastAsia="Arial" w:hAnsi="Arial" w:cs="Arial"/>
          <w:i/>
          <w:iCs/>
        </w:rPr>
        <w:t>Christian Education</w:t>
      </w:r>
      <w:r>
        <w:rPr>
          <w:rFonts w:ascii="Arial" w:eastAsia="Arial" w:hAnsi="Arial" w:cs="Arial"/>
        </w:rPr>
        <w:t xml:space="preserve"> para 36</w:t>
      </w:r>
    </w:p>
  </w:footnote>
  <w:footnote w:id="4">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i/>
          <w:iCs/>
          <w:sz w:val="21"/>
          <w:szCs w:val="21"/>
        </w:rPr>
        <w:t>Ibid</w:t>
      </w:r>
      <w:r>
        <w:rPr>
          <w:rFonts w:ascii="Arial" w:eastAsia="Arial" w:hAnsi="Arial" w:cs="Arial"/>
          <w:sz w:val="21"/>
          <w:szCs w:val="21"/>
        </w:rPr>
        <w:t xml:space="preserve"> para </w:t>
      </w:r>
      <w:r>
        <w:rPr>
          <w:rFonts w:ascii="Arial" w:eastAsia="Arial" w:hAnsi="Arial" w:cs="Arial"/>
          <w:sz w:val="21"/>
          <w:szCs w:val="21"/>
        </w:rPr>
        <w:t>48.</w:t>
      </w:r>
    </w:p>
  </w:footnote>
  <w:footnote w:id="5">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i/>
          <w:iCs/>
          <w:sz w:val="21"/>
          <w:szCs w:val="21"/>
        </w:rPr>
        <w:t>Ibid</w:t>
      </w:r>
      <w:r>
        <w:rPr>
          <w:rFonts w:ascii="Arial" w:eastAsia="Arial" w:hAnsi="Arial" w:cs="Arial"/>
          <w:sz w:val="21"/>
          <w:szCs w:val="21"/>
        </w:rPr>
        <w:t>.</w:t>
      </w:r>
    </w:p>
  </w:footnote>
  <w:footnote w:id="6">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i/>
          <w:iCs/>
          <w:sz w:val="21"/>
          <w:szCs w:val="21"/>
        </w:rPr>
        <w:t xml:space="preserve">Christian Education South Africa v Minister of Education </w:t>
      </w:r>
      <w:r>
        <w:rPr>
          <w:rFonts w:ascii="Arial" w:eastAsia="Arial" w:hAnsi="Arial" w:cs="Arial"/>
          <w:sz w:val="21"/>
          <w:szCs w:val="21"/>
        </w:rPr>
        <w:t>2000 (4) SA 757 (CC) para 36.</w:t>
      </w:r>
    </w:p>
  </w:footnote>
  <w:footnote w:id="7">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Mr </w:t>
      </w:r>
      <w:r>
        <w:rPr>
          <w:rFonts w:ascii="Arial" w:eastAsia="Arial" w:hAnsi="Arial" w:cs="Arial"/>
          <w:sz w:val="21"/>
          <w:szCs w:val="21"/>
        </w:rPr>
        <w:t>Apleni’s</w:t>
      </w:r>
      <w:r>
        <w:rPr>
          <w:rFonts w:ascii="Arial" w:eastAsia="Arial" w:hAnsi="Arial" w:cs="Arial"/>
          <w:sz w:val="21"/>
          <w:szCs w:val="21"/>
        </w:rPr>
        <w:t xml:space="preserve"> answering affidavit, paragraph 29.</w:t>
      </w:r>
    </w:p>
  </w:footnote>
  <w:footnote w:id="8">
    <w:p>
      <w:pPr>
        <w:tabs>
          <w:tab w:val="left" w:pos="426"/>
        </w:tabs>
        <w:spacing w:before="0" w:after="120"/>
        <w:ind w:left="426" w:hanging="426"/>
        <w:rPr>
          <w:rFonts w:ascii="Arial" w:eastAsia="Arial" w:hAnsi="Arial" w:cs="Arial"/>
          <w:color w:val="000000"/>
          <w:sz w:val="24"/>
          <w:szCs w:val="24"/>
          <w:vertAlign w:val="superscript"/>
        </w:rPr>
      </w:pPr>
      <w:r>
        <w:rPr>
          <w:rStyle w:val="FootnoteReference"/>
          <w:rFonts w:ascii="Arial" w:eastAsia="Arial" w:hAnsi="Arial" w:cs="Arial"/>
          <w:color w:val="000000"/>
          <w:sz w:val="24"/>
          <w:szCs w:val="24"/>
          <w:u w:val="none"/>
          <w:vertAlign w:val="superscript"/>
        </w:rPr>
        <w:footnoteRef/>
      </w:r>
      <w:r>
        <w:rPr>
          <w:rFonts w:ascii="Arial" w:eastAsia="Arial" w:hAnsi="Arial" w:cs="Arial"/>
        </w:rPr>
        <w:t xml:space="preserve"> </w:t>
      </w:r>
      <w:r>
        <w:rPr>
          <w:rFonts w:ascii="Arial" w:eastAsia="Arial" w:hAnsi="Arial" w:cs="Arial"/>
          <w:sz w:val="24"/>
          <w:szCs w:val="24"/>
        </w:rPr>
        <w:tab/>
      </w:r>
      <w:r>
        <w:rPr>
          <w:rFonts w:ascii="Arial" w:eastAsia="Arial" w:hAnsi="Arial" w:cs="Arial"/>
          <w:i/>
          <w:iCs/>
        </w:rPr>
        <w:t xml:space="preserve">Prince </w:t>
      </w:r>
      <w:r>
        <w:rPr>
          <w:rFonts w:ascii="Arial" w:eastAsia="Arial" w:hAnsi="Arial" w:cs="Arial"/>
        </w:rPr>
        <w:t>para 38</w:t>
      </w:r>
    </w:p>
  </w:footnote>
  <w:footnote w:id="9">
    <w:p>
      <w:pPr>
        <w:spacing w:before="0" w:after="120"/>
        <w:ind w:left="426" w:hanging="426"/>
        <w:rPr>
          <w:rFonts w:ascii="Arial" w:eastAsia="Arial" w:hAnsi="Arial" w:cs="Arial"/>
          <w:color w:val="000000"/>
          <w:sz w:val="24"/>
          <w:szCs w:val="24"/>
          <w:vertAlign w:val="superscript"/>
        </w:rPr>
      </w:pPr>
      <w:r>
        <w:rPr>
          <w:rStyle w:val="FootnoteReference"/>
          <w:rFonts w:ascii="Arial" w:eastAsia="Arial" w:hAnsi="Arial" w:cs="Arial"/>
          <w:color w:val="000000"/>
          <w:sz w:val="24"/>
          <w:szCs w:val="24"/>
          <w:u w:val="none"/>
          <w:vertAlign w:val="superscript"/>
        </w:rPr>
        <w:footnoteRef/>
      </w:r>
      <w:r>
        <w:rPr>
          <w:rFonts w:ascii="Arial" w:eastAsia="Arial" w:hAnsi="Arial" w:cs="Arial"/>
        </w:rPr>
        <w:t xml:space="preserve"> </w:t>
      </w:r>
      <w:r>
        <w:rPr>
          <w:rFonts w:ascii="Arial" w:eastAsia="Arial" w:hAnsi="Arial" w:cs="Arial"/>
          <w:sz w:val="24"/>
          <w:szCs w:val="24"/>
        </w:rPr>
        <w:tab/>
      </w:r>
      <w:r>
        <w:rPr>
          <w:rFonts w:ascii="Arial" w:eastAsia="Arial" w:hAnsi="Arial" w:cs="Arial"/>
          <w:i/>
          <w:iCs/>
        </w:rPr>
        <w:t>Solberg</w:t>
      </w:r>
      <w:r>
        <w:rPr>
          <w:rFonts w:ascii="Arial" w:eastAsia="Arial" w:hAnsi="Arial" w:cs="Arial"/>
        </w:rPr>
        <w:t xml:space="preserve"> para 92 (per Chaskalson P)</w:t>
      </w:r>
    </w:p>
  </w:footnote>
  <w:footnote w:id="10">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See also </w:t>
      </w:r>
      <w:r>
        <w:rPr>
          <w:rFonts w:ascii="Arial" w:eastAsia="Arial" w:hAnsi="Arial" w:cs="Arial"/>
          <w:i/>
          <w:iCs/>
          <w:sz w:val="21"/>
          <w:szCs w:val="21"/>
        </w:rPr>
        <w:t xml:space="preserve">Prince v President of the Law Society of the Cape of Good Hope </w:t>
      </w:r>
      <w:r>
        <w:rPr>
          <w:rFonts w:ascii="Arial" w:eastAsia="Arial" w:hAnsi="Arial" w:cs="Arial"/>
          <w:sz w:val="21"/>
          <w:szCs w:val="21"/>
        </w:rPr>
        <w:t>2002 (2) SA 794 (CC) para 38.</w:t>
      </w:r>
    </w:p>
  </w:footnote>
  <w:footnote w:id="11">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Church’s founding affidavit, paragraphs</w:t>
      </w:r>
      <w:r>
        <w:rPr>
          <w:rFonts w:ascii="Arial" w:eastAsia="Arial" w:hAnsi="Arial" w:cs="Arial"/>
          <w:sz w:val="21"/>
          <w:szCs w:val="21"/>
        </w:rPr>
        <w:t xml:space="preserve"> 53</w:t>
      </w:r>
      <w:r>
        <w:rPr>
          <w:rFonts w:ascii="Arial" w:eastAsia="Arial" w:hAnsi="Arial" w:cs="Arial"/>
          <w:sz w:val="21"/>
          <w:szCs w:val="21"/>
        </w:rPr>
        <w:t>-55.</w:t>
      </w:r>
    </w:p>
  </w:footnote>
  <w:footnote w:id="12">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Mr </w:t>
      </w:r>
      <w:r>
        <w:rPr>
          <w:rFonts w:ascii="Arial" w:eastAsia="Arial" w:hAnsi="Arial" w:cs="Arial"/>
          <w:sz w:val="21"/>
          <w:szCs w:val="21"/>
        </w:rPr>
        <w:t>Apleni’s</w:t>
      </w:r>
      <w:r>
        <w:rPr>
          <w:rFonts w:ascii="Arial" w:eastAsia="Arial" w:hAnsi="Arial" w:cs="Arial"/>
          <w:sz w:val="21"/>
          <w:szCs w:val="21"/>
        </w:rPr>
        <w:t xml:space="preserve"> </w:t>
      </w:r>
      <w:r>
        <w:rPr>
          <w:rFonts w:ascii="Arial" w:eastAsia="Arial" w:hAnsi="Arial" w:cs="Arial"/>
          <w:sz w:val="21"/>
          <w:szCs w:val="21"/>
        </w:rPr>
        <w:t>a</w:t>
      </w:r>
      <w:r>
        <w:rPr>
          <w:rFonts w:ascii="Arial" w:eastAsia="Arial" w:hAnsi="Arial" w:cs="Arial"/>
          <w:sz w:val="21"/>
          <w:szCs w:val="21"/>
        </w:rPr>
        <w:t>nswering affidavit</w:t>
      </w:r>
      <w:r>
        <w:rPr>
          <w:rFonts w:ascii="Arial" w:eastAsia="Arial" w:hAnsi="Arial" w:cs="Arial"/>
          <w:sz w:val="21"/>
          <w:szCs w:val="21"/>
        </w:rPr>
        <w:t xml:space="preserve">, </w:t>
      </w:r>
      <w:r>
        <w:rPr>
          <w:rFonts w:ascii="Arial" w:eastAsia="Arial" w:hAnsi="Arial" w:cs="Arial"/>
          <w:sz w:val="21"/>
          <w:szCs w:val="21"/>
        </w:rPr>
        <w:t>para</w:t>
      </w:r>
      <w:r>
        <w:rPr>
          <w:rFonts w:ascii="Arial" w:eastAsia="Arial" w:hAnsi="Arial" w:cs="Arial"/>
          <w:sz w:val="21"/>
          <w:szCs w:val="21"/>
        </w:rPr>
        <w:t>graph</w:t>
      </w:r>
      <w:r>
        <w:rPr>
          <w:rFonts w:ascii="Arial" w:eastAsia="Arial" w:hAnsi="Arial" w:cs="Arial"/>
          <w:sz w:val="21"/>
          <w:szCs w:val="21"/>
        </w:rPr>
        <w:t xml:space="preserve"> 29.</w:t>
      </w:r>
    </w:p>
  </w:footnote>
  <w:footnote w:id="13">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Mr </w:t>
      </w:r>
      <w:r>
        <w:rPr>
          <w:rFonts w:ascii="Arial" w:eastAsia="Arial" w:hAnsi="Arial" w:cs="Arial"/>
          <w:sz w:val="21"/>
          <w:szCs w:val="21"/>
        </w:rPr>
        <w:t>Apleni’s</w:t>
      </w:r>
      <w:r>
        <w:rPr>
          <w:rFonts w:ascii="Arial" w:eastAsia="Arial" w:hAnsi="Arial" w:cs="Arial"/>
          <w:sz w:val="21"/>
          <w:szCs w:val="21"/>
        </w:rPr>
        <w:t xml:space="preserve"> </w:t>
      </w:r>
      <w:r>
        <w:rPr>
          <w:rFonts w:ascii="Arial" w:eastAsia="Arial" w:hAnsi="Arial" w:cs="Arial"/>
          <w:sz w:val="21"/>
          <w:szCs w:val="21"/>
        </w:rPr>
        <w:t xml:space="preserve">answering affidavit, paragraph </w:t>
      </w:r>
      <w:r>
        <w:rPr>
          <w:rFonts w:ascii="Arial" w:eastAsia="Arial" w:hAnsi="Arial" w:cs="Arial"/>
          <w:sz w:val="21"/>
          <w:szCs w:val="21"/>
        </w:rPr>
        <w:t>40.</w:t>
      </w:r>
    </w:p>
  </w:footnote>
  <w:footnote w:id="14">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Church’s founding affidavit, paragraphs </w:t>
      </w:r>
      <w:r>
        <w:rPr>
          <w:rFonts w:ascii="Arial" w:eastAsia="Arial" w:hAnsi="Arial" w:cs="Arial"/>
          <w:sz w:val="21"/>
          <w:szCs w:val="21"/>
        </w:rPr>
        <w:t>59-60.</w:t>
      </w:r>
    </w:p>
  </w:footnote>
  <w:footnote w:id="15">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Church’s founding affidavit, paragraph </w:t>
      </w:r>
      <w:r>
        <w:rPr>
          <w:rFonts w:ascii="Arial" w:eastAsia="Arial" w:hAnsi="Arial" w:cs="Arial"/>
          <w:sz w:val="21"/>
          <w:szCs w:val="21"/>
        </w:rPr>
        <w:t xml:space="preserve">60. </w:t>
      </w:r>
    </w:p>
  </w:footnote>
  <w:footnote w:id="16">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Church’s founding affidavit, paragraph </w:t>
      </w:r>
      <w:r>
        <w:rPr>
          <w:rFonts w:ascii="Arial" w:eastAsia="Arial" w:hAnsi="Arial" w:cs="Arial"/>
          <w:sz w:val="21"/>
          <w:szCs w:val="21"/>
        </w:rPr>
        <w:t>59.</w:t>
      </w:r>
    </w:p>
  </w:footnote>
  <w:footnote w:id="17">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See the definition of “burial” and “corpse” in section 1 of BADRA.</w:t>
      </w:r>
      <w:r>
        <w:rPr>
          <w:rFonts w:ascii="Arial" w:eastAsia="Arial" w:hAnsi="Arial" w:cs="Arial"/>
          <w:sz w:val="21"/>
          <w:szCs w:val="21"/>
        </w:rPr>
        <w:t xml:space="preserve"> Also see the definition of “corpse” in regulation 1 of the Regulations Relating to the Management of Human Remains (“</w:t>
      </w:r>
      <w:r>
        <w:rPr>
          <w:rFonts w:ascii="Arial" w:eastAsia="Arial" w:hAnsi="Arial" w:cs="Arial"/>
          <w:b/>
          <w:bCs/>
          <w:sz w:val="21"/>
          <w:szCs w:val="21"/>
        </w:rPr>
        <w:t>the Regulations</w:t>
      </w:r>
      <w:r>
        <w:rPr>
          <w:rFonts w:ascii="Arial" w:eastAsia="Arial" w:hAnsi="Arial" w:cs="Arial"/>
          <w:sz w:val="21"/>
          <w:szCs w:val="21"/>
        </w:rPr>
        <w:t>”).</w:t>
      </w:r>
    </w:p>
  </w:footnote>
  <w:footnote w:id="18">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i/>
          <w:iCs/>
          <w:sz w:val="21"/>
          <w:szCs w:val="21"/>
        </w:rPr>
        <w:t>Ibid</w:t>
      </w:r>
      <w:r>
        <w:rPr>
          <w:rFonts w:ascii="Arial" w:eastAsia="Arial" w:hAnsi="Arial" w:cs="Arial"/>
          <w:sz w:val="21"/>
          <w:szCs w:val="21"/>
        </w:rPr>
        <w:t>.</w:t>
      </w:r>
    </w:p>
  </w:footnote>
  <w:footnote w:id="19">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i/>
          <w:iCs/>
          <w:sz w:val="21"/>
          <w:szCs w:val="21"/>
        </w:rPr>
        <w:t>Ibid</w:t>
      </w:r>
      <w:r>
        <w:rPr>
          <w:rFonts w:ascii="Arial" w:eastAsia="Arial" w:hAnsi="Arial" w:cs="Arial"/>
          <w:sz w:val="21"/>
          <w:szCs w:val="21"/>
        </w:rPr>
        <w:t>.</w:t>
      </w:r>
    </w:p>
  </w:footnote>
  <w:footnote w:id="20">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Section 9 of the Constitution.</w:t>
      </w:r>
    </w:p>
  </w:footnote>
  <w:footnote w:id="21">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i/>
          <w:iCs/>
          <w:sz w:val="21"/>
          <w:szCs w:val="21"/>
        </w:rPr>
        <w:t>Harksen</w:t>
      </w:r>
      <w:r>
        <w:rPr>
          <w:rFonts w:ascii="Arial" w:eastAsia="Arial" w:hAnsi="Arial" w:cs="Arial"/>
          <w:i/>
          <w:iCs/>
          <w:sz w:val="21"/>
          <w:szCs w:val="21"/>
        </w:rPr>
        <w:t xml:space="preserve"> v Lane and others </w:t>
      </w:r>
      <w:r>
        <w:rPr>
          <w:rFonts w:ascii="Arial" w:eastAsia="Arial" w:hAnsi="Arial" w:cs="Arial"/>
          <w:sz w:val="21"/>
          <w:szCs w:val="21"/>
        </w:rPr>
        <w:t xml:space="preserve">1998 (1) SA 300 </w:t>
      </w:r>
      <w:r>
        <w:rPr>
          <w:rFonts w:ascii="Arial" w:eastAsia="Arial" w:hAnsi="Arial" w:cs="Arial"/>
          <w:sz w:val="21"/>
          <w:szCs w:val="21"/>
        </w:rPr>
        <w:t>(CC) para 53.</w:t>
      </w:r>
    </w:p>
  </w:footnote>
  <w:footnote w:id="22">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Section 9(5) of the Constitution.</w:t>
      </w:r>
    </w:p>
  </w:footnote>
  <w:footnote w:id="23">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See section 36 of the Constitution.</w:t>
      </w:r>
    </w:p>
  </w:footnote>
  <w:footnote w:id="24">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i/>
          <w:iCs/>
          <w:sz w:val="21"/>
          <w:szCs w:val="21"/>
        </w:rPr>
        <w:t>Moise v Grea</w:t>
      </w:r>
      <w:r>
        <w:rPr>
          <w:rFonts w:ascii="Arial" w:eastAsia="Arial" w:hAnsi="Arial" w:cs="Arial"/>
          <w:i/>
          <w:iCs/>
          <w:sz w:val="21"/>
          <w:szCs w:val="21"/>
        </w:rPr>
        <w:t xml:space="preserve">ter Transitional Local Council </w:t>
      </w:r>
      <w:r>
        <w:rPr>
          <w:rFonts w:ascii="Arial" w:eastAsia="Arial" w:hAnsi="Arial" w:cs="Arial"/>
          <w:sz w:val="21"/>
          <w:szCs w:val="21"/>
        </w:rPr>
        <w:t xml:space="preserve">2001 (4) SA 491 (CC) para </w:t>
      </w:r>
      <w:r>
        <w:rPr>
          <w:rFonts w:ascii="Arial" w:eastAsia="Arial" w:hAnsi="Arial" w:cs="Arial"/>
          <w:sz w:val="21"/>
          <w:szCs w:val="21"/>
        </w:rPr>
        <w:t>19.</w:t>
      </w:r>
    </w:p>
  </w:footnote>
  <w:footnote w:id="25">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i/>
          <w:iCs/>
          <w:sz w:val="21"/>
          <w:szCs w:val="21"/>
        </w:rPr>
        <w:t>Ibid</w:t>
      </w:r>
      <w:r>
        <w:rPr>
          <w:rFonts w:ascii="Arial" w:eastAsia="Arial" w:hAnsi="Arial" w:cs="Arial"/>
          <w:sz w:val="21"/>
          <w:szCs w:val="21"/>
        </w:rPr>
        <w:t>.</w:t>
      </w:r>
    </w:p>
  </w:footnote>
  <w:footnote w:id="26">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Mr </w:t>
      </w:r>
      <w:r>
        <w:rPr>
          <w:rFonts w:ascii="Arial" w:eastAsia="Arial" w:hAnsi="Arial" w:cs="Arial"/>
          <w:sz w:val="21"/>
          <w:szCs w:val="21"/>
        </w:rPr>
        <w:t>Apleni’s</w:t>
      </w:r>
      <w:r>
        <w:rPr>
          <w:rFonts w:ascii="Arial" w:eastAsia="Arial" w:hAnsi="Arial" w:cs="Arial"/>
          <w:sz w:val="21"/>
          <w:szCs w:val="21"/>
        </w:rPr>
        <w:t xml:space="preserve"> answering affidavit</w:t>
      </w:r>
      <w:r>
        <w:rPr>
          <w:rFonts w:ascii="Arial" w:eastAsia="Arial" w:hAnsi="Arial" w:cs="Arial"/>
          <w:sz w:val="21"/>
          <w:szCs w:val="21"/>
        </w:rPr>
        <w:t>,</w:t>
      </w:r>
      <w:r>
        <w:rPr>
          <w:rFonts w:ascii="Arial" w:eastAsia="Arial" w:hAnsi="Arial" w:cs="Arial"/>
          <w:sz w:val="21"/>
          <w:szCs w:val="21"/>
        </w:rPr>
        <w:t xml:space="preserve"> para</w:t>
      </w:r>
      <w:r>
        <w:rPr>
          <w:rFonts w:ascii="Arial" w:eastAsia="Arial" w:hAnsi="Arial" w:cs="Arial"/>
          <w:sz w:val="21"/>
          <w:szCs w:val="21"/>
        </w:rPr>
        <w:t>graph</w:t>
      </w:r>
      <w:r>
        <w:rPr>
          <w:rFonts w:ascii="Arial" w:eastAsia="Arial" w:hAnsi="Arial" w:cs="Arial"/>
          <w:sz w:val="21"/>
          <w:szCs w:val="21"/>
        </w:rPr>
        <w:t xml:space="preserve"> 26.</w:t>
      </w:r>
      <w:r>
        <w:rPr>
          <w:rFonts w:ascii="Arial" w:eastAsia="Arial" w:hAnsi="Arial" w:cs="Arial"/>
          <w:sz w:val="21"/>
          <w:szCs w:val="21"/>
        </w:rPr>
        <w:t xml:space="preserve"> Dr Pillay also suggests that the justification for the impugned legislation is that it serves to “</w:t>
      </w:r>
      <w:r>
        <w:rPr>
          <w:rFonts w:ascii="Arial" w:eastAsia="Arial" w:hAnsi="Arial" w:cs="Arial"/>
          <w:i/>
          <w:iCs/>
          <w:sz w:val="21"/>
          <w:szCs w:val="21"/>
        </w:rPr>
        <w:t>confine burial to human remains, corpse and still born, which is determined by viability</w:t>
      </w:r>
      <w:r>
        <w:rPr>
          <w:rFonts w:ascii="Arial" w:eastAsia="Arial" w:hAnsi="Arial" w:cs="Arial"/>
          <w:sz w:val="21"/>
          <w:szCs w:val="21"/>
        </w:rPr>
        <w:t xml:space="preserve">” (see paragraph 50 of Dr Pillay’s </w:t>
      </w:r>
      <w:r>
        <w:rPr>
          <w:rFonts w:ascii="Arial" w:eastAsia="Arial" w:hAnsi="Arial" w:cs="Arial"/>
          <w:sz w:val="21"/>
          <w:szCs w:val="21"/>
        </w:rPr>
        <w:t>affidavit</w:t>
      </w:r>
      <w:r>
        <w:rPr>
          <w:rFonts w:ascii="Arial" w:eastAsia="Arial" w:hAnsi="Arial" w:cs="Arial"/>
          <w:sz w:val="21"/>
          <w:szCs w:val="21"/>
        </w:rPr>
        <w:t>). This is a circular argument that does no merit further discussion.</w:t>
      </w:r>
    </w:p>
  </w:footnote>
  <w:footnote w:id="27">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i/>
          <w:iCs/>
          <w:sz w:val="21"/>
          <w:szCs w:val="21"/>
        </w:rPr>
        <w:t xml:space="preserve">Teddy Bear Clinic for Abused Children v Minister of Justice and Constitutional Development </w:t>
      </w:r>
      <w:r>
        <w:rPr>
          <w:rFonts w:ascii="Arial" w:eastAsia="Arial" w:hAnsi="Arial" w:cs="Arial"/>
          <w:sz w:val="21"/>
          <w:szCs w:val="21"/>
        </w:rPr>
        <w:t xml:space="preserve">2014 (2) SA 168 (CC), </w:t>
      </w:r>
      <w:r>
        <w:rPr>
          <w:rFonts w:ascii="Arial" w:eastAsia="Arial" w:hAnsi="Arial" w:cs="Arial"/>
          <w:sz w:val="21"/>
          <w:szCs w:val="21"/>
        </w:rPr>
        <w:t>citing</w:t>
      </w:r>
      <w:r>
        <w:rPr>
          <w:rFonts w:ascii="Arial" w:eastAsia="Arial" w:hAnsi="Arial" w:cs="Arial"/>
          <w:sz w:val="21"/>
          <w:szCs w:val="21"/>
        </w:rPr>
        <w:t xml:space="preserve"> </w:t>
      </w:r>
      <w:r>
        <w:rPr>
          <w:rFonts w:ascii="Arial" w:eastAsia="Arial" w:hAnsi="Arial" w:cs="Arial"/>
          <w:i/>
          <w:iCs/>
          <w:sz w:val="21"/>
          <w:szCs w:val="21"/>
        </w:rPr>
        <w:t xml:space="preserve">S v Steyn </w:t>
      </w:r>
      <w:r>
        <w:rPr>
          <w:rFonts w:ascii="Arial" w:eastAsia="Arial" w:hAnsi="Arial" w:cs="Arial"/>
          <w:sz w:val="21"/>
          <w:szCs w:val="21"/>
        </w:rPr>
        <w:t>2001 (1) SA 1146 (CC)</w:t>
      </w:r>
      <w:r>
        <w:rPr>
          <w:rFonts w:ascii="Arial" w:eastAsia="Arial" w:hAnsi="Arial" w:cs="Arial"/>
          <w:sz w:val="21"/>
          <w:szCs w:val="21"/>
        </w:rPr>
        <w:t xml:space="preserve"> paras 31-37.</w:t>
      </w:r>
    </w:p>
  </w:footnote>
  <w:footnote w:id="28">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See, for instance, </w:t>
      </w:r>
      <w:r>
        <w:rPr>
          <w:rFonts w:ascii="Arial" w:eastAsia="Arial" w:hAnsi="Arial" w:cs="Arial"/>
          <w:i/>
          <w:iCs/>
          <w:sz w:val="21"/>
          <w:szCs w:val="21"/>
        </w:rPr>
        <w:t xml:space="preserve">S v </w:t>
      </w:r>
      <w:r>
        <w:rPr>
          <w:rFonts w:ascii="Arial" w:eastAsia="Arial" w:hAnsi="Arial" w:cs="Arial"/>
          <w:i/>
          <w:iCs/>
          <w:sz w:val="21"/>
          <w:szCs w:val="21"/>
        </w:rPr>
        <w:t>Makwanyane</w:t>
      </w:r>
      <w:r>
        <w:rPr>
          <w:rFonts w:ascii="Arial" w:eastAsia="Arial" w:hAnsi="Arial" w:cs="Arial"/>
          <w:i/>
          <w:iCs/>
          <w:sz w:val="21"/>
          <w:szCs w:val="21"/>
        </w:rPr>
        <w:t xml:space="preserve"> </w:t>
      </w:r>
      <w:r>
        <w:rPr>
          <w:rFonts w:ascii="Arial" w:eastAsia="Arial" w:hAnsi="Arial" w:cs="Arial"/>
          <w:sz w:val="21"/>
          <w:szCs w:val="21"/>
        </w:rPr>
        <w:t>1995 (3) SA 391 (CC) para 184.</w:t>
      </w:r>
    </w:p>
  </w:footnote>
  <w:footnote w:id="29">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Section</w:t>
      </w:r>
      <w:r>
        <w:rPr>
          <w:rFonts w:ascii="Arial" w:eastAsia="Arial" w:hAnsi="Arial" w:cs="Arial"/>
          <w:sz w:val="21"/>
          <w:szCs w:val="21"/>
        </w:rPr>
        <w:t xml:space="preserve"> 172(1)(a) of the Constitution.</w:t>
      </w:r>
    </w:p>
  </w:footnote>
  <w:footnote w:id="30">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Church’s replying affidavit paras 21-28.</w:t>
      </w:r>
    </w:p>
  </w:footnote>
  <w:footnote w:id="31">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Mr </w:t>
      </w:r>
      <w:r>
        <w:rPr>
          <w:rFonts w:ascii="Arial" w:eastAsia="Arial" w:hAnsi="Arial" w:cs="Arial"/>
          <w:sz w:val="21"/>
          <w:szCs w:val="21"/>
        </w:rPr>
        <w:t>Apleni’</w:t>
      </w:r>
      <w:r>
        <w:rPr>
          <w:rFonts w:ascii="Arial" w:eastAsia="Arial" w:hAnsi="Arial" w:cs="Arial"/>
          <w:sz w:val="21"/>
          <w:szCs w:val="21"/>
        </w:rPr>
        <w:t>s</w:t>
      </w:r>
      <w:r>
        <w:rPr>
          <w:rFonts w:ascii="Arial" w:eastAsia="Arial" w:hAnsi="Arial" w:cs="Arial"/>
          <w:sz w:val="21"/>
          <w:szCs w:val="21"/>
        </w:rPr>
        <w:t xml:space="preserve"> answering affidavit, </w:t>
      </w:r>
      <w:r>
        <w:rPr>
          <w:rFonts w:ascii="Arial" w:eastAsia="Arial" w:hAnsi="Arial" w:cs="Arial"/>
          <w:sz w:val="21"/>
          <w:szCs w:val="21"/>
        </w:rPr>
        <w:t>para</w:t>
      </w:r>
      <w:r>
        <w:rPr>
          <w:rFonts w:ascii="Arial" w:eastAsia="Arial" w:hAnsi="Arial" w:cs="Arial"/>
          <w:sz w:val="21"/>
          <w:szCs w:val="21"/>
        </w:rPr>
        <w:t>graph</w:t>
      </w:r>
      <w:r>
        <w:rPr>
          <w:rFonts w:ascii="Arial" w:eastAsia="Arial" w:hAnsi="Arial" w:cs="Arial"/>
          <w:sz w:val="21"/>
          <w:szCs w:val="21"/>
        </w:rPr>
        <w:t xml:space="preserve"> 12; Dr Pillay’</w:t>
      </w:r>
      <w:r>
        <w:rPr>
          <w:rFonts w:ascii="Arial" w:eastAsia="Arial" w:hAnsi="Arial" w:cs="Arial"/>
          <w:sz w:val="21"/>
          <w:szCs w:val="21"/>
        </w:rPr>
        <w:t xml:space="preserve">s answering affidavit, </w:t>
      </w:r>
      <w:r>
        <w:rPr>
          <w:rFonts w:ascii="Arial" w:eastAsia="Arial" w:hAnsi="Arial" w:cs="Arial"/>
          <w:sz w:val="21"/>
          <w:szCs w:val="21"/>
        </w:rPr>
        <w:t>para</w:t>
      </w:r>
      <w:r>
        <w:rPr>
          <w:rFonts w:ascii="Arial" w:eastAsia="Arial" w:hAnsi="Arial" w:cs="Arial"/>
          <w:sz w:val="21"/>
          <w:szCs w:val="21"/>
        </w:rPr>
        <w:t>graph</w:t>
      </w:r>
      <w:r>
        <w:rPr>
          <w:rFonts w:ascii="Arial" w:eastAsia="Arial" w:hAnsi="Arial" w:cs="Arial"/>
          <w:sz w:val="21"/>
          <w:szCs w:val="21"/>
        </w:rPr>
        <w:t>s 14, 42, 77 &amp; 91.</w:t>
      </w:r>
    </w:p>
  </w:footnote>
  <w:footnote w:id="32">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 xml:space="preserve">See, for instance, </w:t>
      </w:r>
      <w:r>
        <w:rPr>
          <w:rFonts w:ascii="Arial" w:eastAsia="Arial" w:hAnsi="Arial" w:cs="Arial"/>
          <w:i/>
          <w:iCs/>
          <w:sz w:val="21"/>
          <w:szCs w:val="21"/>
        </w:rPr>
        <w:t xml:space="preserve">S v </w:t>
      </w:r>
      <w:r>
        <w:rPr>
          <w:rFonts w:ascii="Arial" w:eastAsia="Arial" w:hAnsi="Arial" w:cs="Arial"/>
          <w:i/>
          <w:iCs/>
          <w:sz w:val="21"/>
          <w:szCs w:val="21"/>
        </w:rPr>
        <w:t>Makwanyane</w:t>
      </w:r>
      <w:r>
        <w:rPr>
          <w:rFonts w:ascii="Arial" w:eastAsia="Arial" w:hAnsi="Arial" w:cs="Arial"/>
          <w:i/>
          <w:iCs/>
          <w:sz w:val="21"/>
          <w:szCs w:val="21"/>
        </w:rPr>
        <w:t xml:space="preserve"> </w:t>
      </w:r>
      <w:r>
        <w:rPr>
          <w:rFonts w:ascii="Arial" w:eastAsia="Arial" w:hAnsi="Arial" w:cs="Arial"/>
          <w:sz w:val="21"/>
          <w:szCs w:val="21"/>
        </w:rPr>
        <w:t>1995 (3) SA 391 (CC).</w:t>
      </w:r>
    </w:p>
  </w:footnote>
  <w:footnote w:id="33">
    <w:p>
      <w:pPr>
        <w:spacing w:before="0" w:after="12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Section 172(2)(a) of the Constitution.</w:t>
      </w:r>
    </w:p>
  </w:footnote>
  <w:footnote w:id="34">
    <w:p>
      <w:pPr>
        <w:spacing w:before="0" w:after="0"/>
        <w:jc w:val="both"/>
        <w:rPr>
          <w:rFonts w:ascii="Arial" w:eastAsia="Arial" w:hAnsi="Arial" w:cs="Arial"/>
          <w:color w:val="000000"/>
          <w:sz w:val="21"/>
          <w:szCs w:val="21"/>
          <w:vertAlign w:val="superscript"/>
        </w:rPr>
      </w:pPr>
      <w:r>
        <w:rPr>
          <w:rStyle w:val="FootnoteReference"/>
          <w:rFonts w:ascii="Arial" w:eastAsia="Arial" w:hAnsi="Arial" w:cs="Arial"/>
          <w:color w:val="000000"/>
          <w:sz w:val="21"/>
          <w:szCs w:val="21"/>
          <w:u w:val="none"/>
          <w:vertAlign w:val="superscript"/>
        </w:rPr>
        <w:footnoteRef/>
      </w:r>
      <w:r>
        <w:rPr>
          <w:rFonts w:ascii="Arial" w:eastAsia="Arial" w:hAnsi="Arial" w:cs="Arial"/>
          <w:sz w:val="21"/>
          <w:szCs w:val="21"/>
        </w:rPr>
        <w:t xml:space="preserve"> </w:t>
      </w:r>
      <w:r>
        <w:rPr>
          <w:rFonts w:ascii="Arial" w:eastAsia="Arial" w:hAnsi="Arial" w:cs="Arial"/>
          <w:sz w:val="21"/>
          <w:szCs w:val="21"/>
        </w:rPr>
        <w:t>Section 172(1)(a) of the Constitution.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suff w:val="nothing"/>
      <w:lvlText w:val="2.%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7"/>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9"/>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35"/>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3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4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43"/>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48"/>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5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5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5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5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6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6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